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8B18A0" w14:textId="45802BD1" w:rsidR="00007ABF" w:rsidRDefault="00007ABF" w:rsidP="004A271C">
      <w:pPr>
        <w:spacing w:after="200" w:line="360" w:lineRule="auto"/>
        <w:rPr>
          <w:rFonts w:eastAsiaTheme="majorEastAsia" w:cstheme="minorHAnsi"/>
          <w:b/>
          <w:bCs/>
          <w:lang w:val="en-US"/>
        </w:rPr>
      </w:pPr>
      <w:r w:rsidRPr="00EE6E8C">
        <w:rPr>
          <w:rFonts w:eastAsiaTheme="majorEastAsia" w:cstheme="minorHAnsi"/>
          <w:b/>
          <w:bCs/>
          <w:lang w:val="en-US"/>
        </w:rPr>
        <w:t>Short-term treatment of acute locom</w:t>
      </w:r>
      <w:r w:rsidR="00207F50">
        <w:rPr>
          <w:rFonts w:eastAsiaTheme="majorEastAsia" w:cstheme="minorHAnsi"/>
          <w:b/>
          <w:bCs/>
          <w:lang w:val="en-US"/>
        </w:rPr>
        <w:t>otor pain in older adults</w:t>
      </w:r>
      <w:r w:rsidRPr="00EE6E8C">
        <w:rPr>
          <w:rFonts w:eastAsiaTheme="majorEastAsia" w:cstheme="minorHAnsi"/>
          <w:b/>
          <w:bCs/>
          <w:lang w:val="en-US"/>
        </w:rPr>
        <w:t xml:space="preserve">: comparison of effectiveness and safety between </w:t>
      </w:r>
      <w:r w:rsidR="004C79B5">
        <w:rPr>
          <w:rFonts w:eastAsiaTheme="majorEastAsia" w:cstheme="minorHAnsi"/>
          <w:b/>
          <w:bCs/>
          <w:lang w:val="en-US"/>
        </w:rPr>
        <w:t>weak and strong opioids</w:t>
      </w:r>
      <w:r w:rsidRPr="00EE6E8C">
        <w:rPr>
          <w:rFonts w:eastAsiaTheme="majorEastAsia" w:cstheme="minorHAnsi"/>
          <w:b/>
          <w:bCs/>
          <w:lang w:val="en-US"/>
        </w:rPr>
        <w:t>.</w:t>
      </w:r>
    </w:p>
    <w:p w14:paraId="052C5197" w14:textId="0CCBBD4E" w:rsidR="00097267" w:rsidRPr="00097267" w:rsidRDefault="00B663A9" w:rsidP="004A271C">
      <w:pPr>
        <w:spacing w:after="200" w:line="360" w:lineRule="auto"/>
        <w:rPr>
          <w:rFonts w:eastAsiaTheme="majorEastAsia" w:cstheme="minorHAnsi"/>
          <w:b/>
          <w:bCs/>
          <w:i/>
          <w:lang w:val="en-US"/>
        </w:rPr>
      </w:pPr>
      <w:r>
        <w:rPr>
          <w:rFonts w:eastAsiaTheme="majorEastAsia" w:cstheme="minorHAnsi"/>
          <w:b/>
          <w:bCs/>
          <w:i/>
          <w:lang w:val="en-US"/>
        </w:rPr>
        <w:t>Running title: Short term opioid treatment in older adults</w:t>
      </w:r>
    </w:p>
    <w:p w14:paraId="7A3C8212" w14:textId="650C89C2" w:rsidR="00007ABF" w:rsidRPr="00EE6E8C" w:rsidRDefault="00EE6E8C" w:rsidP="004A271C">
      <w:pPr>
        <w:spacing w:after="200" w:line="360" w:lineRule="auto"/>
        <w:rPr>
          <w:rFonts w:eastAsiaTheme="majorEastAsia" w:cstheme="minorHAnsi"/>
          <w:bCs/>
        </w:rPr>
      </w:pPr>
      <w:r>
        <w:rPr>
          <w:rFonts w:eastAsiaTheme="majorEastAsia" w:cstheme="minorHAnsi"/>
          <w:bCs/>
        </w:rPr>
        <w:t>Janssens WH</w:t>
      </w:r>
      <w:r w:rsidR="0041598D">
        <w:rPr>
          <w:rFonts w:eastAsiaTheme="majorEastAsia" w:cstheme="minorHAnsi"/>
          <w:bCs/>
        </w:rPr>
        <w:t>, MD</w:t>
      </w:r>
      <w:r>
        <w:rPr>
          <w:rFonts w:eastAsiaTheme="majorEastAsia" w:cstheme="minorHAnsi"/>
          <w:bCs/>
        </w:rPr>
        <w:t>*</w:t>
      </w:r>
      <w:r w:rsidRPr="00EE6E8C">
        <w:rPr>
          <w:rFonts w:eastAsiaTheme="majorEastAsia" w:cstheme="minorHAnsi"/>
          <w:bCs/>
        </w:rPr>
        <w:t>, Verhoestraete P</w:t>
      </w:r>
      <w:r w:rsidR="0041598D">
        <w:rPr>
          <w:rFonts w:eastAsiaTheme="majorEastAsia" w:cstheme="minorHAnsi"/>
          <w:bCs/>
        </w:rPr>
        <w:t>, MD</w:t>
      </w:r>
      <w:r>
        <w:rPr>
          <w:rFonts w:eastAsiaTheme="majorEastAsia" w:cstheme="minorHAnsi"/>
          <w:bCs/>
        </w:rPr>
        <w:t>*</w:t>
      </w:r>
      <w:r w:rsidRPr="00EE6E8C">
        <w:rPr>
          <w:rFonts w:eastAsiaTheme="majorEastAsia" w:cstheme="minorHAnsi"/>
          <w:bCs/>
        </w:rPr>
        <w:t xml:space="preserve">, </w:t>
      </w:r>
      <w:proofErr w:type="spellStart"/>
      <w:r w:rsidRPr="00EE6E8C">
        <w:rPr>
          <w:rFonts w:eastAsiaTheme="majorEastAsia" w:cstheme="minorHAnsi"/>
          <w:bCs/>
        </w:rPr>
        <w:t>Piers</w:t>
      </w:r>
      <w:proofErr w:type="spellEnd"/>
      <w:r w:rsidRPr="00EE6E8C">
        <w:rPr>
          <w:rFonts w:eastAsiaTheme="majorEastAsia" w:cstheme="minorHAnsi"/>
          <w:bCs/>
        </w:rPr>
        <w:t xml:space="preserve"> R</w:t>
      </w:r>
      <w:r>
        <w:rPr>
          <w:rFonts w:eastAsiaTheme="majorEastAsia" w:cstheme="minorHAnsi"/>
          <w:bCs/>
        </w:rPr>
        <w:t>D</w:t>
      </w:r>
      <w:r w:rsidR="0041598D">
        <w:rPr>
          <w:rFonts w:eastAsiaTheme="majorEastAsia" w:cstheme="minorHAnsi"/>
          <w:bCs/>
        </w:rPr>
        <w:t>, PhD</w:t>
      </w:r>
      <w:r>
        <w:rPr>
          <w:rFonts w:eastAsiaTheme="majorEastAsia" w:cstheme="minorHAnsi"/>
          <w:bCs/>
        </w:rPr>
        <w:t>*, Van Den Noortgate NJ</w:t>
      </w:r>
      <w:r w:rsidR="0041598D">
        <w:rPr>
          <w:rFonts w:eastAsiaTheme="majorEastAsia" w:cstheme="minorHAnsi"/>
          <w:bCs/>
        </w:rPr>
        <w:t>, PhD</w:t>
      </w:r>
      <w:r>
        <w:rPr>
          <w:rFonts w:eastAsiaTheme="majorEastAsia" w:cstheme="minorHAnsi"/>
          <w:bCs/>
        </w:rPr>
        <w:t>*</w:t>
      </w:r>
    </w:p>
    <w:p w14:paraId="758F538B" w14:textId="3F51C89B" w:rsidR="005942F9" w:rsidRPr="00EE6E8C" w:rsidRDefault="00EE6E8C">
      <w:pPr>
        <w:rPr>
          <w:rFonts w:cstheme="minorHAnsi"/>
          <w:lang w:val="en-US"/>
        </w:rPr>
      </w:pPr>
      <w:r w:rsidRPr="00EE6E8C">
        <w:rPr>
          <w:rFonts w:cstheme="minorHAnsi"/>
          <w:lang w:val="en-US"/>
        </w:rPr>
        <w:t>*</w:t>
      </w:r>
      <w:r w:rsidRPr="00EE6E8C">
        <w:rPr>
          <w:rFonts w:ascii="Segoe UI" w:hAnsi="Segoe UI" w:cs="Segoe UI"/>
          <w:color w:val="212121"/>
          <w:shd w:val="clear" w:color="auto" w:fill="FFFFFF"/>
          <w:lang w:val="en-US"/>
        </w:rPr>
        <w:t xml:space="preserve"> </w:t>
      </w:r>
      <w:r w:rsidRPr="00EE6E8C">
        <w:rPr>
          <w:rFonts w:cstheme="minorHAnsi"/>
          <w:color w:val="212121"/>
          <w:shd w:val="clear" w:color="auto" w:fill="FFFFFF"/>
          <w:lang w:val="en-US"/>
        </w:rPr>
        <w:t xml:space="preserve">Department of Geriatrics, University Hospital Ghent, C. </w:t>
      </w:r>
      <w:proofErr w:type="spellStart"/>
      <w:r w:rsidRPr="00EE6E8C">
        <w:rPr>
          <w:rFonts w:cstheme="minorHAnsi"/>
          <w:color w:val="212121"/>
          <w:shd w:val="clear" w:color="auto" w:fill="FFFFFF"/>
          <w:lang w:val="en-US"/>
        </w:rPr>
        <w:t>Heymanslaan</w:t>
      </w:r>
      <w:proofErr w:type="spellEnd"/>
      <w:r w:rsidRPr="00EE6E8C">
        <w:rPr>
          <w:rFonts w:cstheme="minorHAnsi"/>
          <w:color w:val="212121"/>
          <w:shd w:val="clear" w:color="auto" w:fill="FFFFFF"/>
          <w:lang w:val="en-US"/>
        </w:rPr>
        <w:t xml:space="preserve"> 10, 9000, Ghent, Belgium.</w:t>
      </w:r>
    </w:p>
    <w:p w14:paraId="1684EF1D" w14:textId="77777777" w:rsidR="001B2345" w:rsidRDefault="001B2345">
      <w:pPr>
        <w:rPr>
          <w:rFonts w:cstheme="minorHAnsi"/>
          <w:lang w:val="en-US"/>
        </w:rPr>
      </w:pPr>
    </w:p>
    <w:p w14:paraId="47C8693D" w14:textId="7C558925" w:rsidR="00123606" w:rsidRDefault="00123606" w:rsidP="00123606">
      <w:pPr>
        <w:spacing w:line="360" w:lineRule="auto"/>
        <w:rPr>
          <w:rFonts w:cstheme="minorHAnsi"/>
          <w:b/>
          <w:lang w:val="en-US"/>
        </w:rPr>
      </w:pPr>
      <w:r>
        <w:rPr>
          <w:rFonts w:cstheme="minorHAnsi"/>
          <w:b/>
          <w:lang w:val="en-US"/>
        </w:rPr>
        <w:t xml:space="preserve">Disclosures </w:t>
      </w:r>
    </w:p>
    <w:p w14:paraId="787B3E48" w14:textId="7294C0B2" w:rsidR="00123606" w:rsidRDefault="00123606" w:rsidP="00123606">
      <w:pPr>
        <w:spacing w:line="360" w:lineRule="auto"/>
        <w:rPr>
          <w:rFonts w:cstheme="minorHAnsi"/>
          <w:lang w:val="en-US"/>
        </w:rPr>
      </w:pPr>
      <w:r>
        <w:rPr>
          <w:rFonts w:cstheme="minorHAnsi"/>
          <w:lang w:val="en-US"/>
        </w:rPr>
        <w:t>No funding sources.</w:t>
      </w:r>
    </w:p>
    <w:p w14:paraId="25B19823" w14:textId="6683C6C4" w:rsidR="00074B1F" w:rsidRPr="00074B1F" w:rsidRDefault="00074B1F" w:rsidP="00123606">
      <w:pPr>
        <w:spacing w:line="360" w:lineRule="auto"/>
        <w:rPr>
          <w:rFonts w:cstheme="minorHAnsi"/>
          <w:lang w:val="en-US"/>
        </w:rPr>
      </w:pPr>
      <w:r w:rsidRPr="00074B1F">
        <w:rPr>
          <w:rFonts w:cstheme="minorHAnsi"/>
          <w:color w:val="1C1D1E"/>
          <w:shd w:val="clear" w:color="auto" w:fill="FFFFFF"/>
          <w:lang w:val="en-US"/>
        </w:rPr>
        <w:t>The authors have no conflicts</w:t>
      </w:r>
      <w:r w:rsidRPr="00074B1F">
        <w:rPr>
          <w:rFonts w:cstheme="minorHAnsi"/>
          <w:color w:val="1C1D1E"/>
          <w:shd w:val="clear" w:color="auto" w:fill="FFFFFF"/>
          <w:lang w:val="en-US"/>
        </w:rPr>
        <w:t>.</w:t>
      </w:r>
    </w:p>
    <w:p w14:paraId="1684754D" w14:textId="7C2580AE" w:rsidR="00123606" w:rsidRDefault="00123606" w:rsidP="00123606">
      <w:pPr>
        <w:spacing w:line="360" w:lineRule="auto"/>
        <w:rPr>
          <w:rFonts w:cstheme="minorHAnsi"/>
          <w:lang w:val="en-US"/>
        </w:rPr>
      </w:pPr>
      <w:r>
        <w:rPr>
          <w:rFonts w:cstheme="minorHAnsi"/>
          <w:lang w:val="en-US"/>
        </w:rPr>
        <w:t xml:space="preserve">The results of this study were presented at the Annual </w:t>
      </w:r>
      <w:proofErr w:type="spellStart"/>
      <w:r>
        <w:rPr>
          <w:rFonts w:cstheme="minorHAnsi"/>
          <w:lang w:val="en-US"/>
        </w:rPr>
        <w:t>Wintermeeting</w:t>
      </w:r>
      <w:proofErr w:type="spellEnd"/>
      <w:r>
        <w:rPr>
          <w:rFonts w:cstheme="minorHAnsi"/>
          <w:lang w:val="en-US"/>
        </w:rPr>
        <w:t>, June 24</w:t>
      </w:r>
      <w:r w:rsidRPr="00123606">
        <w:rPr>
          <w:rFonts w:cstheme="minorHAnsi"/>
          <w:vertAlign w:val="superscript"/>
          <w:lang w:val="en-US"/>
        </w:rPr>
        <w:t>th</w:t>
      </w:r>
      <w:r>
        <w:rPr>
          <w:rFonts w:cstheme="minorHAnsi"/>
          <w:lang w:val="en-US"/>
        </w:rPr>
        <w:t xml:space="preserve"> 2022, Ostend, Belgium.</w:t>
      </w:r>
    </w:p>
    <w:p w14:paraId="09826C38" w14:textId="77777777" w:rsidR="00216858" w:rsidRDefault="00216858" w:rsidP="00123606">
      <w:pPr>
        <w:spacing w:line="360" w:lineRule="auto"/>
        <w:rPr>
          <w:rFonts w:cstheme="minorHAnsi"/>
          <w:lang w:val="en-US"/>
        </w:rPr>
      </w:pPr>
    </w:p>
    <w:p w14:paraId="418DF99D" w14:textId="7BE489AB" w:rsidR="00216858" w:rsidRDefault="00216858" w:rsidP="00123606">
      <w:pPr>
        <w:spacing w:line="360" w:lineRule="auto"/>
        <w:rPr>
          <w:rFonts w:cstheme="minorHAnsi"/>
          <w:b/>
          <w:lang w:val="en-US"/>
        </w:rPr>
      </w:pPr>
      <w:r>
        <w:rPr>
          <w:rFonts w:cstheme="minorHAnsi"/>
          <w:b/>
          <w:lang w:val="en-US"/>
        </w:rPr>
        <w:t>Corresponding author</w:t>
      </w:r>
    </w:p>
    <w:p w14:paraId="1659537C" w14:textId="46D74D42" w:rsidR="00216858" w:rsidRDefault="00216858" w:rsidP="00123606">
      <w:pPr>
        <w:spacing w:line="360" w:lineRule="auto"/>
        <w:rPr>
          <w:rFonts w:cstheme="minorHAnsi"/>
          <w:lang w:val="en-US"/>
        </w:rPr>
      </w:pPr>
      <w:r>
        <w:rPr>
          <w:rFonts w:cstheme="minorHAnsi"/>
          <w:lang w:val="en-US"/>
        </w:rPr>
        <w:t>Janssens Wim H</w:t>
      </w:r>
    </w:p>
    <w:p w14:paraId="5B8CE26D" w14:textId="4CAE3AF4" w:rsidR="00216858" w:rsidRDefault="00216858" w:rsidP="00123606">
      <w:pPr>
        <w:spacing w:line="360" w:lineRule="auto"/>
        <w:rPr>
          <w:rFonts w:cstheme="minorHAnsi"/>
          <w:color w:val="212121"/>
          <w:shd w:val="clear" w:color="auto" w:fill="FFFFFF"/>
          <w:lang w:val="en-US"/>
        </w:rPr>
      </w:pPr>
      <w:r w:rsidRPr="00EE6E8C">
        <w:rPr>
          <w:rFonts w:cstheme="minorHAnsi"/>
          <w:color w:val="212121"/>
          <w:shd w:val="clear" w:color="auto" w:fill="FFFFFF"/>
          <w:lang w:val="en-US"/>
        </w:rPr>
        <w:t xml:space="preserve">Department of Geriatrics, University Hospital Ghent, C. </w:t>
      </w:r>
      <w:proofErr w:type="spellStart"/>
      <w:r w:rsidRPr="00EE6E8C">
        <w:rPr>
          <w:rFonts w:cstheme="minorHAnsi"/>
          <w:color w:val="212121"/>
          <w:shd w:val="clear" w:color="auto" w:fill="FFFFFF"/>
          <w:lang w:val="en-US"/>
        </w:rPr>
        <w:t>Heymanslaan</w:t>
      </w:r>
      <w:proofErr w:type="spellEnd"/>
      <w:r w:rsidRPr="00EE6E8C">
        <w:rPr>
          <w:rFonts w:cstheme="minorHAnsi"/>
          <w:color w:val="212121"/>
          <w:shd w:val="clear" w:color="auto" w:fill="FFFFFF"/>
          <w:lang w:val="en-US"/>
        </w:rPr>
        <w:t xml:space="preserve"> 10, 9000, Ghent, Belgium</w:t>
      </w:r>
    </w:p>
    <w:p w14:paraId="531885EB" w14:textId="0465BA7D" w:rsidR="00216858" w:rsidRDefault="00216858" w:rsidP="00123606">
      <w:pPr>
        <w:spacing w:line="360" w:lineRule="auto"/>
        <w:rPr>
          <w:rFonts w:cstheme="minorHAnsi"/>
          <w:color w:val="212121"/>
          <w:shd w:val="clear" w:color="auto" w:fill="FFFFFF"/>
          <w:lang w:val="en-US"/>
        </w:rPr>
      </w:pPr>
      <w:hyperlink r:id="rId5" w:history="1">
        <w:r w:rsidRPr="00D86973">
          <w:rPr>
            <w:rStyle w:val="Hyperlink"/>
            <w:rFonts w:cstheme="minorHAnsi"/>
            <w:shd w:val="clear" w:color="auto" w:fill="FFFFFF"/>
            <w:lang w:val="en-US"/>
          </w:rPr>
          <w:t>Wim.Janssens@UGent.be</w:t>
        </w:r>
      </w:hyperlink>
    </w:p>
    <w:p w14:paraId="356236AC" w14:textId="77777777" w:rsidR="00216858" w:rsidRDefault="00216858" w:rsidP="00123606">
      <w:pPr>
        <w:spacing w:line="360" w:lineRule="auto"/>
        <w:rPr>
          <w:rFonts w:cstheme="minorHAnsi"/>
          <w:color w:val="212121"/>
          <w:shd w:val="clear" w:color="auto" w:fill="FFFFFF"/>
          <w:lang w:val="en-US"/>
        </w:rPr>
      </w:pPr>
    </w:p>
    <w:p w14:paraId="4DAFF652" w14:textId="66EAA159" w:rsidR="00216858" w:rsidRDefault="00216858" w:rsidP="00123606">
      <w:pPr>
        <w:spacing w:line="360" w:lineRule="auto"/>
        <w:rPr>
          <w:rFonts w:cstheme="minorHAnsi"/>
          <w:b/>
          <w:color w:val="212121"/>
          <w:shd w:val="clear" w:color="auto" w:fill="FFFFFF"/>
          <w:lang w:val="en-US"/>
        </w:rPr>
      </w:pPr>
      <w:r>
        <w:rPr>
          <w:rFonts w:cstheme="minorHAnsi"/>
          <w:b/>
          <w:color w:val="212121"/>
          <w:shd w:val="clear" w:color="auto" w:fill="FFFFFF"/>
          <w:lang w:val="en-US"/>
        </w:rPr>
        <w:t>Word count</w:t>
      </w:r>
    </w:p>
    <w:p w14:paraId="0CA9BDFF" w14:textId="1361F8D6" w:rsidR="00216858" w:rsidRDefault="00216858" w:rsidP="00123606">
      <w:pPr>
        <w:spacing w:line="360" w:lineRule="auto"/>
        <w:rPr>
          <w:rFonts w:cstheme="minorHAnsi"/>
          <w:color w:val="212121"/>
          <w:shd w:val="clear" w:color="auto" w:fill="FFFFFF"/>
          <w:lang w:val="en-US"/>
        </w:rPr>
      </w:pPr>
      <w:r>
        <w:rPr>
          <w:rFonts w:cstheme="minorHAnsi"/>
          <w:color w:val="212121"/>
          <w:shd w:val="clear" w:color="auto" w:fill="FFFFFF"/>
          <w:lang w:val="en-US"/>
        </w:rPr>
        <w:t xml:space="preserve">Abstract: </w:t>
      </w:r>
      <w:r w:rsidR="00A27FFB">
        <w:rPr>
          <w:rFonts w:cstheme="minorHAnsi"/>
          <w:color w:val="212121"/>
          <w:shd w:val="clear" w:color="auto" w:fill="FFFFFF"/>
          <w:lang w:val="en-US"/>
        </w:rPr>
        <w:t>299</w:t>
      </w:r>
    </w:p>
    <w:p w14:paraId="1C86ECA3" w14:textId="64100418" w:rsidR="00216858" w:rsidRDefault="00216858" w:rsidP="00123606">
      <w:pPr>
        <w:spacing w:line="360" w:lineRule="auto"/>
        <w:rPr>
          <w:rFonts w:cstheme="minorHAnsi"/>
          <w:color w:val="212121"/>
          <w:shd w:val="clear" w:color="auto" w:fill="FFFFFF"/>
          <w:lang w:val="en-US"/>
        </w:rPr>
      </w:pPr>
      <w:r>
        <w:rPr>
          <w:rFonts w:cstheme="minorHAnsi"/>
          <w:color w:val="212121"/>
          <w:shd w:val="clear" w:color="auto" w:fill="FFFFFF"/>
          <w:lang w:val="en-US"/>
        </w:rPr>
        <w:t>Main text:</w:t>
      </w:r>
      <w:r w:rsidR="001E4477">
        <w:rPr>
          <w:rFonts w:cstheme="minorHAnsi"/>
          <w:color w:val="212121"/>
          <w:shd w:val="clear" w:color="auto" w:fill="FFFFFF"/>
          <w:lang w:val="en-US"/>
        </w:rPr>
        <w:t xml:space="preserve"> 1942</w:t>
      </w:r>
      <w:bookmarkStart w:id="0" w:name="_GoBack"/>
      <w:bookmarkEnd w:id="0"/>
    </w:p>
    <w:p w14:paraId="6F3513DD" w14:textId="068F900C" w:rsidR="00216858" w:rsidRPr="00216858" w:rsidRDefault="00216858" w:rsidP="00123606">
      <w:pPr>
        <w:spacing w:line="360" w:lineRule="auto"/>
        <w:rPr>
          <w:rFonts w:cstheme="minorHAnsi"/>
          <w:lang w:val="en-US"/>
        </w:rPr>
      </w:pPr>
      <w:r>
        <w:rPr>
          <w:rFonts w:cstheme="minorHAnsi"/>
          <w:color w:val="212121"/>
          <w:shd w:val="clear" w:color="auto" w:fill="FFFFFF"/>
          <w:lang w:val="en-US"/>
        </w:rPr>
        <w:t>Tables/figures: 3</w:t>
      </w:r>
    </w:p>
    <w:p w14:paraId="04D5E981" w14:textId="77777777" w:rsidR="001B2345" w:rsidRPr="00EE6E8C" w:rsidRDefault="001B2345">
      <w:pPr>
        <w:rPr>
          <w:rFonts w:cstheme="minorHAnsi"/>
          <w:lang w:val="en-US"/>
        </w:rPr>
      </w:pPr>
    </w:p>
    <w:p w14:paraId="1D6BB5A9" w14:textId="60B1C96C" w:rsidR="001B2345" w:rsidRDefault="00EE6E8C">
      <w:pPr>
        <w:rPr>
          <w:rFonts w:cstheme="minorHAnsi"/>
          <w:b/>
          <w:lang w:val="en-US"/>
        </w:rPr>
      </w:pPr>
      <w:r>
        <w:rPr>
          <w:rFonts w:cstheme="minorHAnsi"/>
          <w:b/>
          <w:lang w:val="en-US"/>
        </w:rPr>
        <w:t>Impact statement</w:t>
      </w:r>
    </w:p>
    <w:p w14:paraId="62082EDB" w14:textId="77777777" w:rsidR="0008100F" w:rsidRPr="0008100F" w:rsidRDefault="0008100F" w:rsidP="0008100F">
      <w:pPr>
        <w:spacing w:line="360" w:lineRule="auto"/>
        <w:rPr>
          <w:rFonts w:eastAsia="Times New Roman" w:cs="Times New Roman"/>
          <w:lang w:val="en-US"/>
        </w:rPr>
      </w:pPr>
      <w:r w:rsidRPr="0008100F">
        <w:rPr>
          <w:rFonts w:eastAsia="Times New Roman" w:cs="Times New Roman"/>
          <w:lang w:val="en-US"/>
        </w:rPr>
        <w:t>We certify that this work is novel.</w:t>
      </w:r>
    </w:p>
    <w:p w14:paraId="380793B9" w14:textId="686D434A" w:rsidR="0008100F" w:rsidRPr="00074B1F" w:rsidRDefault="0008100F" w:rsidP="00074B1F">
      <w:pPr>
        <w:spacing w:line="360" w:lineRule="auto"/>
        <w:rPr>
          <w:rFonts w:eastAsia="Times New Roman" w:cs="Times New Roman"/>
          <w:lang w:val="en-US"/>
        </w:rPr>
      </w:pPr>
      <w:r w:rsidRPr="0008100F">
        <w:rPr>
          <w:rFonts w:eastAsia="Times New Roman" w:cs="Times New Roman"/>
          <w:lang w:val="en-US"/>
        </w:rPr>
        <w:t>The potential impact of this research includes a better understanding</w:t>
      </w:r>
      <w:r>
        <w:rPr>
          <w:rFonts w:eastAsia="Times New Roman" w:cs="Times New Roman"/>
          <w:lang w:val="en-US"/>
        </w:rPr>
        <w:t xml:space="preserve"> of</w:t>
      </w:r>
      <w:r w:rsidRPr="0008100F">
        <w:rPr>
          <w:rFonts w:eastAsia="Times New Roman" w:cs="Times New Roman"/>
          <w:lang w:val="en-US"/>
        </w:rPr>
        <w:t xml:space="preserve"> </w:t>
      </w:r>
      <w:r>
        <w:rPr>
          <w:rFonts w:eastAsia="Times New Roman" w:cs="Times New Roman"/>
          <w:lang w:val="en-US"/>
        </w:rPr>
        <w:t xml:space="preserve">short term </w:t>
      </w:r>
      <w:r w:rsidRPr="0008100F">
        <w:rPr>
          <w:rFonts w:eastAsia="Times New Roman" w:cs="Times New Roman"/>
          <w:lang w:val="en-US"/>
        </w:rPr>
        <w:t xml:space="preserve">treatment </w:t>
      </w:r>
      <w:r>
        <w:rPr>
          <w:rFonts w:eastAsia="Times New Roman" w:cs="Times New Roman"/>
          <w:lang w:val="en-US"/>
        </w:rPr>
        <w:t xml:space="preserve">for acute moderate to severe locomotor pain in </w:t>
      </w:r>
      <w:r w:rsidRPr="0008100F">
        <w:rPr>
          <w:rFonts w:eastAsia="Times New Roman" w:cs="Times New Roman"/>
          <w:lang w:val="en-US"/>
        </w:rPr>
        <w:t>geriatric patients.</w:t>
      </w:r>
    </w:p>
    <w:p w14:paraId="4824C5EC" w14:textId="22B7E5A7" w:rsidR="001B2345" w:rsidRDefault="00453E9E">
      <w:pPr>
        <w:rPr>
          <w:rFonts w:cstheme="minorHAnsi"/>
          <w:b/>
          <w:lang w:val="en-US"/>
        </w:rPr>
      </w:pPr>
      <w:r>
        <w:rPr>
          <w:rFonts w:cstheme="minorHAnsi"/>
          <w:b/>
          <w:lang w:val="en-US"/>
        </w:rPr>
        <w:lastRenderedPageBreak/>
        <w:t>Key points</w:t>
      </w:r>
    </w:p>
    <w:p w14:paraId="38958A86" w14:textId="77777777" w:rsidR="003D70EE" w:rsidRDefault="0008100F" w:rsidP="003E4D8F">
      <w:pPr>
        <w:spacing w:after="200" w:line="360" w:lineRule="auto"/>
        <w:rPr>
          <w:rFonts w:eastAsia="Times New Roman" w:cs="Times New Roman"/>
          <w:lang w:val="en-US"/>
        </w:rPr>
      </w:pPr>
      <w:r w:rsidRPr="00AD36DF">
        <w:rPr>
          <w:rFonts w:cstheme="minorHAnsi"/>
          <w:lang w:val="en-US"/>
        </w:rPr>
        <w:t xml:space="preserve">Both </w:t>
      </w:r>
      <w:r w:rsidR="003E4D8F">
        <w:rPr>
          <w:rFonts w:cstheme="minorHAnsi"/>
          <w:lang w:val="en-US"/>
        </w:rPr>
        <w:t xml:space="preserve">weak and strong </w:t>
      </w:r>
      <w:r w:rsidRPr="00AD36DF">
        <w:rPr>
          <w:rFonts w:cstheme="minorHAnsi"/>
          <w:lang w:val="en-US"/>
        </w:rPr>
        <w:t xml:space="preserve">opioids </w:t>
      </w:r>
      <w:r>
        <w:rPr>
          <w:rFonts w:cstheme="minorHAnsi"/>
          <w:lang w:val="en-US"/>
        </w:rPr>
        <w:t xml:space="preserve">had </w:t>
      </w:r>
      <w:r w:rsidRPr="00AD36DF">
        <w:rPr>
          <w:rFonts w:cstheme="minorHAnsi"/>
          <w:lang w:val="en-US"/>
        </w:rPr>
        <w:t>similar effects</w:t>
      </w:r>
      <w:r>
        <w:rPr>
          <w:rFonts w:cstheme="minorHAnsi"/>
          <w:lang w:val="en-US"/>
        </w:rPr>
        <w:t xml:space="preserve"> on pain</w:t>
      </w:r>
      <w:r w:rsidR="003E4D8F">
        <w:rPr>
          <w:rFonts w:cstheme="minorHAnsi"/>
          <w:lang w:val="en-US"/>
        </w:rPr>
        <w:t xml:space="preserve"> </w:t>
      </w:r>
      <w:r w:rsidR="003E4D8F" w:rsidRPr="00D12352">
        <w:rPr>
          <w:rFonts w:eastAsia="Times New Roman" w:cs="Times New Roman"/>
          <w:lang w:val="en-US"/>
        </w:rPr>
        <w:t xml:space="preserve">in a short-term treatment schedule in older patients with </w:t>
      </w:r>
      <w:r w:rsidR="003E4D8F">
        <w:rPr>
          <w:rFonts w:eastAsia="Times New Roman" w:cs="Times New Roman"/>
          <w:lang w:val="en-US"/>
        </w:rPr>
        <w:t xml:space="preserve">acute </w:t>
      </w:r>
      <w:r w:rsidR="003E4D8F" w:rsidRPr="00D12352">
        <w:rPr>
          <w:rFonts w:eastAsia="Times New Roman" w:cs="Times New Roman"/>
          <w:lang w:val="en-US"/>
        </w:rPr>
        <w:t xml:space="preserve">moderate to severe </w:t>
      </w:r>
      <w:r w:rsidR="003E4D8F">
        <w:rPr>
          <w:rFonts w:eastAsia="Times New Roman" w:cs="Times New Roman"/>
          <w:lang w:val="en-US"/>
        </w:rPr>
        <w:t>locomotor pain.</w:t>
      </w:r>
      <w:r w:rsidR="003E4D8F">
        <w:rPr>
          <w:rFonts w:eastAsia="Times New Roman" w:cs="Times New Roman"/>
          <w:lang w:val="en-US"/>
        </w:rPr>
        <w:t xml:space="preserve"> </w:t>
      </w:r>
    </w:p>
    <w:p w14:paraId="4449BF27" w14:textId="5BF016F6" w:rsidR="0008100F" w:rsidRPr="003E4D8F" w:rsidRDefault="0008100F" w:rsidP="003E4D8F">
      <w:pPr>
        <w:spacing w:after="200" w:line="360" w:lineRule="auto"/>
        <w:rPr>
          <w:rFonts w:eastAsia="Times New Roman" w:cs="Times New Roman"/>
          <w:lang w:val="en-US"/>
        </w:rPr>
      </w:pPr>
      <w:r>
        <w:rPr>
          <w:rFonts w:cstheme="minorHAnsi"/>
          <w:lang w:val="en-US"/>
        </w:rPr>
        <w:t>Nausea was more frequent (statistically significant) in patients treated with weak opioids, while there was a trend towards a higher frequency of delirium and fall accidents in the patients treated with weak opioids.</w:t>
      </w:r>
    </w:p>
    <w:p w14:paraId="5FB7A167" w14:textId="27A4FE77" w:rsidR="00453E9E" w:rsidRDefault="004F4E68" w:rsidP="0008100F">
      <w:pPr>
        <w:spacing w:line="360" w:lineRule="auto"/>
        <w:rPr>
          <w:lang w:val="en-US"/>
        </w:rPr>
      </w:pPr>
      <w:r>
        <w:rPr>
          <w:rFonts w:ascii="Calibri" w:hAnsi="Calibri" w:cs="Calibri"/>
          <w:color w:val="000000"/>
          <w:lang w:val="en-US"/>
        </w:rPr>
        <w:t>O</w:t>
      </w:r>
      <w:r w:rsidR="0008100F" w:rsidRPr="004F68C6">
        <w:rPr>
          <w:lang w:val="en-US"/>
        </w:rPr>
        <w:t xml:space="preserve">pioid therapy may be considered as a short term treatment for moderate to severe </w:t>
      </w:r>
      <w:r w:rsidR="0008100F">
        <w:rPr>
          <w:lang w:val="en-US"/>
        </w:rPr>
        <w:t xml:space="preserve">acute </w:t>
      </w:r>
      <w:r w:rsidR="0008100F" w:rsidRPr="004F68C6">
        <w:rPr>
          <w:lang w:val="en-US"/>
        </w:rPr>
        <w:t>locomotor pain in older adults, if individualized and caref</w:t>
      </w:r>
      <w:r w:rsidR="0008100F">
        <w:rPr>
          <w:lang w:val="en-US"/>
        </w:rPr>
        <w:t>ully monitored for side effects, and if</w:t>
      </w:r>
      <w:r w:rsidR="0008100F" w:rsidRPr="005F6D7D">
        <w:rPr>
          <w:lang w:val="en-US"/>
        </w:rPr>
        <w:t xml:space="preserve"> </w:t>
      </w:r>
      <w:r w:rsidR="0008100F">
        <w:rPr>
          <w:lang w:val="en-US"/>
        </w:rPr>
        <w:t>timely discontinued if necessary or in case pain has resolved</w:t>
      </w:r>
      <w:r w:rsidR="0008100F">
        <w:rPr>
          <w:lang w:val="en-US"/>
        </w:rPr>
        <w:t>.</w:t>
      </w:r>
    </w:p>
    <w:p w14:paraId="3AA56A17" w14:textId="77777777" w:rsidR="00A02828" w:rsidRDefault="00A02828" w:rsidP="0008100F">
      <w:pPr>
        <w:spacing w:line="360" w:lineRule="auto"/>
        <w:rPr>
          <w:lang w:val="en-US"/>
        </w:rPr>
      </w:pPr>
    </w:p>
    <w:p w14:paraId="76E3C965" w14:textId="77777777" w:rsidR="00A02828" w:rsidRDefault="00A02828" w:rsidP="0008100F">
      <w:pPr>
        <w:spacing w:line="360" w:lineRule="auto"/>
        <w:rPr>
          <w:lang w:val="en-US"/>
        </w:rPr>
      </w:pPr>
    </w:p>
    <w:p w14:paraId="1BB22E1E" w14:textId="77777777" w:rsidR="00A02828" w:rsidRDefault="00A02828" w:rsidP="0008100F">
      <w:pPr>
        <w:spacing w:line="360" w:lineRule="auto"/>
        <w:rPr>
          <w:lang w:val="en-US"/>
        </w:rPr>
      </w:pPr>
    </w:p>
    <w:p w14:paraId="1D9FE348" w14:textId="77777777" w:rsidR="00A02828" w:rsidRDefault="00A02828" w:rsidP="0008100F">
      <w:pPr>
        <w:spacing w:line="360" w:lineRule="auto"/>
        <w:rPr>
          <w:lang w:val="en-US"/>
        </w:rPr>
      </w:pPr>
    </w:p>
    <w:p w14:paraId="19DF0558" w14:textId="77777777" w:rsidR="00A02828" w:rsidRDefault="00A02828" w:rsidP="0008100F">
      <w:pPr>
        <w:spacing w:line="360" w:lineRule="auto"/>
        <w:rPr>
          <w:lang w:val="en-US"/>
        </w:rPr>
      </w:pPr>
    </w:p>
    <w:p w14:paraId="1BDCBFB0" w14:textId="77777777" w:rsidR="00A02828" w:rsidRDefault="00A02828" w:rsidP="0008100F">
      <w:pPr>
        <w:spacing w:line="360" w:lineRule="auto"/>
        <w:rPr>
          <w:lang w:val="en-US"/>
        </w:rPr>
      </w:pPr>
    </w:p>
    <w:p w14:paraId="7EB277AF" w14:textId="77777777" w:rsidR="00A02828" w:rsidRDefault="00A02828" w:rsidP="0008100F">
      <w:pPr>
        <w:spacing w:line="360" w:lineRule="auto"/>
        <w:rPr>
          <w:lang w:val="en-US"/>
        </w:rPr>
      </w:pPr>
    </w:p>
    <w:p w14:paraId="1FA66FFC" w14:textId="77777777" w:rsidR="00A02828" w:rsidRDefault="00A02828" w:rsidP="0008100F">
      <w:pPr>
        <w:spacing w:line="360" w:lineRule="auto"/>
        <w:rPr>
          <w:lang w:val="en-US"/>
        </w:rPr>
      </w:pPr>
    </w:p>
    <w:p w14:paraId="4F22D051" w14:textId="77777777" w:rsidR="00A02828" w:rsidRDefault="00A02828" w:rsidP="0008100F">
      <w:pPr>
        <w:spacing w:line="360" w:lineRule="auto"/>
        <w:rPr>
          <w:lang w:val="en-US"/>
        </w:rPr>
      </w:pPr>
    </w:p>
    <w:p w14:paraId="059E8EFE" w14:textId="77777777" w:rsidR="00A02828" w:rsidRDefault="00A02828" w:rsidP="0008100F">
      <w:pPr>
        <w:spacing w:line="360" w:lineRule="auto"/>
        <w:rPr>
          <w:lang w:val="en-US"/>
        </w:rPr>
      </w:pPr>
    </w:p>
    <w:p w14:paraId="2EE05867" w14:textId="77777777" w:rsidR="00A02828" w:rsidRDefault="00A02828" w:rsidP="0008100F">
      <w:pPr>
        <w:spacing w:line="360" w:lineRule="auto"/>
        <w:rPr>
          <w:lang w:val="en-US"/>
        </w:rPr>
      </w:pPr>
    </w:p>
    <w:p w14:paraId="636EC19F" w14:textId="77777777" w:rsidR="003E4D8F" w:rsidRDefault="003E4D8F" w:rsidP="0008100F">
      <w:pPr>
        <w:spacing w:line="360" w:lineRule="auto"/>
        <w:rPr>
          <w:lang w:val="en-US"/>
        </w:rPr>
      </w:pPr>
    </w:p>
    <w:p w14:paraId="2B06D6BE" w14:textId="77777777" w:rsidR="003E4D8F" w:rsidRDefault="003E4D8F" w:rsidP="0008100F">
      <w:pPr>
        <w:spacing w:line="360" w:lineRule="auto"/>
        <w:rPr>
          <w:lang w:val="en-US"/>
        </w:rPr>
      </w:pPr>
    </w:p>
    <w:p w14:paraId="4068F2AB" w14:textId="77777777" w:rsidR="003E4D8F" w:rsidRDefault="003E4D8F" w:rsidP="0008100F">
      <w:pPr>
        <w:spacing w:line="360" w:lineRule="auto"/>
        <w:rPr>
          <w:lang w:val="en-US"/>
        </w:rPr>
      </w:pPr>
    </w:p>
    <w:p w14:paraId="15325414" w14:textId="77777777" w:rsidR="003E4D8F" w:rsidRDefault="003E4D8F" w:rsidP="0008100F">
      <w:pPr>
        <w:spacing w:line="360" w:lineRule="auto"/>
        <w:rPr>
          <w:lang w:val="en-US"/>
        </w:rPr>
      </w:pPr>
    </w:p>
    <w:p w14:paraId="46D04175" w14:textId="77777777" w:rsidR="003E4D8F" w:rsidRDefault="003E4D8F" w:rsidP="0008100F">
      <w:pPr>
        <w:spacing w:line="360" w:lineRule="auto"/>
        <w:rPr>
          <w:lang w:val="en-US"/>
        </w:rPr>
      </w:pPr>
    </w:p>
    <w:p w14:paraId="6FAC2EBF" w14:textId="77777777" w:rsidR="00A02828" w:rsidRDefault="00A02828" w:rsidP="0008100F">
      <w:pPr>
        <w:spacing w:line="360" w:lineRule="auto"/>
        <w:rPr>
          <w:lang w:val="en-US"/>
        </w:rPr>
      </w:pPr>
    </w:p>
    <w:p w14:paraId="3B8A5298" w14:textId="77777777" w:rsidR="00A02828" w:rsidRPr="00453E9E" w:rsidRDefault="00A02828" w:rsidP="0008100F">
      <w:pPr>
        <w:spacing w:line="360" w:lineRule="auto"/>
        <w:rPr>
          <w:rFonts w:cstheme="minorHAnsi"/>
          <w:lang w:val="en"/>
        </w:rPr>
      </w:pPr>
    </w:p>
    <w:p w14:paraId="2A4977E6" w14:textId="14519972" w:rsidR="00EE6E8C" w:rsidRPr="00EE6E8C" w:rsidRDefault="00EE6E8C" w:rsidP="004C79B5">
      <w:pPr>
        <w:spacing w:line="360" w:lineRule="auto"/>
        <w:rPr>
          <w:rFonts w:cstheme="minorHAnsi"/>
          <w:b/>
          <w:lang w:val="en-US"/>
        </w:rPr>
      </w:pPr>
      <w:r w:rsidRPr="00EE6E8C">
        <w:rPr>
          <w:rFonts w:cstheme="minorHAnsi"/>
          <w:b/>
          <w:lang w:val="en-US"/>
        </w:rPr>
        <w:t>Abstract</w:t>
      </w:r>
    </w:p>
    <w:p w14:paraId="5B1A202F" w14:textId="7AAB3BD2" w:rsidR="00EE6E8C" w:rsidRDefault="0041598D" w:rsidP="004C79B5">
      <w:pPr>
        <w:spacing w:line="360" w:lineRule="auto"/>
        <w:rPr>
          <w:rFonts w:cstheme="minorHAnsi"/>
          <w:i/>
          <w:lang w:val="en-US"/>
        </w:rPr>
      </w:pPr>
      <w:r>
        <w:rPr>
          <w:rFonts w:cstheme="minorHAnsi"/>
          <w:i/>
          <w:lang w:val="en-US"/>
        </w:rPr>
        <w:t>Background</w:t>
      </w:r>
    </w:p>
    <w:p w14:paraId="1AE8F63E" w14:textId="611DBB1A" w:rsidR="0041598D" w:rsidRPr="0041598D" w:rsidRDefault="004C79B5" w:rsidP="004C79B5">
      <w:pPr>
        <w:spacing w:line="360" w:lineRule="auto"/>
        <w:rPr>
          <w:rFonts w:cstheme="minorHAnsi"/>
          <w:lang w:val="en-US"/>
        </w:rPr>
      </w:pPr>
      <w:r>
        <w:rPr>
          <w:rFonts w:cstheme="minorHAnsi"/>
          <w:lang w:val="en-US"/>
        </w:rPr>
        <w:t xml:space="preserve">While pain is very prevalent in older individuals and </w:t>
      </w:r>
      <w:r>
        <w:rPr>
          <w:rFonts w:eastAsia="Times New Roman" w:cs="Times New Roman"/>
          <w:lang w:val="en-US"/>
        </w:rPr>
        <w:t>opioids are widely known as being potent pain relievers, data concerning</w:t>
      </w:r>
      <w:r w:rsidR="008D128A">
        <w:rPr>
          <w:rFonts w:eastAsia="Times New Roman" w:cs="Times New Roman"/>
          <w:lang w:val="en-US"/>
        </w:rPr>
        <w:t xml:space="preserve"> use of opioids for</w:t>
      </w:r>
      <w:r>
        <w:rPr>
          <w:rFonts w:eastAsia="Times New Roman" w:cs="Times New Roman"/>
          <w:lang w:val="en-US"/>
        </w:rPr>
        <w:t xml:space="preserve"> treatment of acute moderate to severe locomotor pain in the older patient are scarce. However, recognizing correct indications and managing side effects </w:t>
      </w:r>
      <w:r w:rsidR="007F2D3D">
        <w:rPr>
          <w:rFonts w:eastAsia="Times New Roman" w:cs="Times New Roman"/>
          <w:lang w:val="en-US"/>
        </w:rPr>
        <w:t>are key elements in treating</w:t>
      </w:r>
      <w:r>
        <w:rPr>
          <w:rFonts w:eastAsia="Times New Roman" w:cs="Times New Roman"/>
          <w:lang w:val="en-US"/>
        </w:rPr>
        <w:t xml:space="preserve"> acute and chronic pain in older adults. </w:t>
      </w:r>
    </w:p>
    <w:p w14:paraId="2D0DB7D6" w14:textId="4C661480" w:rsidR="0041598D" w:rsidRDefault="0041598D" w:rsidP="004C79B5">
      <w:pPr>
        <w:spacing w:line="360" w:lineRule="auto"/>
        <w:rPr>
          <w:rFonts w:cstheme="minorHAnsi"/>
          <w:i/>
          <w:lang w:val="en-US"/>
        </w:rPr>
      </w:pPr>
      <w:r>
        <w:rPr>
          <w:rFonts w:cstheme="minorHAnsi"/>
          <w:i/>
          <w:lang w:val="en-US"/>
        </w:rPr>
        <w:t>Methods</w:t>
      </w:r>
    </w:p>
    <w:p w14:paraId="763B612B" w14:textId="4FB8FBEB" w:rsidR="0041598D" w:rsidRPr="0041598D" w:rsidRDefault="004C79B5" w:rsidP="004C79B5">
      <w:pPr>
        <w:spacing w:line="360" w:lineRule="auto"/>
        <w:rPr>
          <w:rFonts w:cstheme="minorHAnsi"/>
          <w:lang w:val="en-US"/>
        </w:rPr>
      </w:pPr>
      <w:r>
        <w:rPr>
          <w:rFonts w:cstheme="minorHAnsi"/>
          <w:lang w:val="en-US"/>
        </w:rPr>
        <w:t xml:space="preserve">This preliminary study is an </w:t>
      </w:r>
      <w:r w:rsidRPr="00865AB6">
        <w:rPr>
          <w:lang w:val="en-US"/>
        </w:rPr>
        <w:t>multi</w:t>
      </w:r>
      <w:r>
        <w:rPr>
          <w:lang w:val="en-US"/>
        </w:rPr>
        <w:t>-center prospective randomiz</w:t>
      </w:r>
      <w:r w:rsidRPr="00865AB6">
        <w:rPr>
          <w:lang w:val="en-US"/>
        </w:rPr>
        <w:t xml:space="preserve">ed study </w:t>
      </w:r>
      <w:r>
        <w:rPr>
          <w:lang w:val="en-US"/>
        </w:rPr>
        <w:t xml:space="preserve">on patients, 70 years or older, admitted to the acute geriatric ward of 3 Belgian hospitals. Patients included were suffering from acute (less than 72 hours) moderate to severe </w:t>
      </w:r>
      <w:r w:rsidR="007F2D3D">
        <w:rPr>
          <w:lang w:val="en-US"/>
        </w:rPr>
        <w:t>(numeric rating scale</w:t>
      </w:r>
      <w:r w:rsidRPr="004A388E">
        <w:rPr>
          <w:lang w:val="en-US"/>
        </w:rPr>
        <w:t xml:space="preserve"> ≥ 5)</w:t>
      </w:r>
      <w:r>
        <w:rPr>
          <w:lang w:val="en-US"/>
        </w:rPr>
        <w:t xml:space="preserve"> locomotor pain on at least one moment on the day of inclusion, and were opioid naive. Patients were randomized into 2 treatment groups: patients in the first group were treated with a weak opioid (tramadol), the ones in the second group with a strong opioid (oxycodone). </w:t>
      </w:r>
    </w:p>
    <w:p w14:paraId="1622F0EF" w14:textId="4D55506A" w:rsidR="0041598D" w:rsidRDefault="0041598D" w:rsidP="004C79B5">
      <w:pPr>
        <w:spacing w:line="360" w:lineRule="auto"/>
        <w:rPr>
          <w:rFonts w:cstheme="minorHAnsi"/>
          <w:i/>
          <w:lang w:val="en-US"/>
        </w:rPr>
      </w:pPr>
      <w:r>
        <w:rPr>
          <w:rFonts w:cstheme="minorHAnsi"/>
          <w:i/>
          <w:lang w:val="en-US"/>
        </w:rPr>
        <w:t>Results</w:t>
      </w:r>
    </w:p>
    <w:p w14:paraId="3940C519" w14:textId="2093FD04" w:rsidR="0000181C" w:rsidRPr="0041598D" w:rsidRDefault="0000181C" w:rsidP="004C79B5">
      <w:pPr>
        <w:spacing w:line="360" w:lineRule="auto"/>
        <w:rPr>
          <w:rFonts w:cstheme="minorHAnsi"/>
          <w:lang w:val="en-US"/>
        </w:rPr>
      </w:pPr>
      <w:r w:rsidRPr="00AD36DF">
        <w:rPr>
          <w:rFonts w:cstheme="minorHAnsi"/>
          <w:lang w:val="en-US"/>
        </w:rPr>
        <w:t xml:space="preserve">Both opioids </w:t>
      </w:r>
      <w:r>
        <w:rPr>
          <w:rFonts w:cstheme="minorHAnsi"/>
          <w:lang w:val="en-US"/>
        </w:rPr>
        <w:t xml:space="preserve">had </w:t>
      </w:r>
      <w:r w:rsidRPr="00AD36DF">
        <w:rPr>
          <w:rFonts w:cstheme="minorHAnsi"/>
          <w:lang w:val="en-US"/>
        </w:rPr>
        <w:t>similar effects on speed of analgesic effect, speed of achieving complete pain control or need for additional analgesics for breakthrough pain</w:t>
      </w:r>
      <w:r>
        <w:rPr>
          <w:rFonts w:cstheme="minorHAnsi"/>
          <w:lang w:val="en-US"/>
        </w:rPr>
        <w:t xml:space="preserve">. </w:t>
      </w:r>
      <w:r>
        <w:rPr>
          <w:lang w:val="en-US"/>
        </w:rPr>
        <w:t xml:space="preserve">Nausea was significantly more prevalent in patients treated with weak opioids, while no difference between both groups concerning the occurrence of constipation, the most common side effect, was noted. There was a trend towards a higher prevalence of other side effects, such as delirium and fall accidents, </w:t>
      </w:r>
      <w:r w:rsidR="0069176B">
        <w:rPr>
          <w:lang w:val="en-US"/>
        </w:rPr>
        <w:t xml:space="preserve">in the tramadol group, </w:t>
      </w:r>
      <w:r>
        <w:rPr>
          <w:lang w:val="en-US"/>
        </w:rPr>
        <w:t>without reaching statistical significance.</w:t>
      </w:r>
    </w:p>
    <w:p w14:paraId="032D4F57" w14:textId="406EE10D" w:rsidR="0041598D" w:rsidRDefault="0041598D" w:rsidP="004C79B5">
      <w:pPr>
        <w:spacing w:line="360" w:lineRule="auto"/>
        <w:rPr>
          <w:rFonts w:cstheme="minorHAnsi"/>
          <w:i/>
          <w:lang w:val="en-US"/>
        </w:rPr>
      </w:pPr>
      <w:r>
        <w:rPr>
          <w:rFonts w:cstheme="minorHAnsi"/>
          <w:i/>
          <w:lang w:val="en-US"/>
        </w:rPr>
        <w:t xml:space="preserve">Conclusions </w:t>
      </w:r>
    </w:p>
    <w:p w14:paraId="3EEDFB53" w14:textId="445DDAB3" w:rsidR="0000181C" w:rsidRPr="004F68C6" w:rsidRDefault="0000181C" w:rsidP="0000181C">
      <w:pPr>
        <w:spacing w:line="360" w:lineRule="auto"/>
        <w:rPr>
          <w:lang w:val="en-US"/>
        </w:rPr>
      </w:pPr>
      <w:r>
        <w:rPr>
          <w:rFonts w:ascii="Calibri" w:hAnsi="Calibri" w:cs="Calibri"/>
          <w:color w:val="000000"/>
          <w:lang w:val="en-US"/>
        </w:rPr>
        <w:t xml:space="preserve">Based on the results of this preliminary study, </w:t>
      </w:r>
      <w:r>
        <w:rPr>
          <w:lang w:val="en-US"/>
        </w:rPr>
        <w:t>o</w:t>
      </w:r>
      <w:r w:rsidRPr="004F68C6">
        <w:rPr>
          <w:lang w:val="en-US"/>
        </w:rPr>
        <w:t xml:space="preserve">pioid therapy may be considered as a short term treatment for moderate to severe </w:t>
      </w:r>
      <w:r>
        <w:rPr>
          <w:lang w:val="en-US"/>
        </w:rPr>
        <w:t xml:space="preserve">acute </w:t>
      </w:r>
      <w:r w:rsidRPr="004F68C6">
        <w:rPr>
          <w:lang w:val="en-US"/>
        </w:rPr>
        <w:t>locomotor pain in older adults, if individualized and caref</w:t>
      </w:r>
      <w:r w:rsidR="005F6D7D">
        <w:rPr>
          <w:lang w:val="en-US"/>
        </w:rPr>
        <w:t>ully monitored for side effects, and if</w:t>
      </w:r>
      <w:r w:rsidR="005F6D7D" w:rsidRPr="005F6D7D">
        <w:rPr>
          <w:lang w:val="en-US"/>
        </w:rPr>
        <w:t xml:space="preserve"> </w:t>
      </w:r>
      <w:r w:rsidR="005F6D7D">
        <w:rPr>
          <w:lang w:val="en-US"/>
        </w:rPr>
        <w:t xml:space="preserve">timely discontinued if necessary or in case pain has resolved. </w:t>
      </w:r>
      <w:r w:rsidR="005F6D7D">
        <w:rPr>
          <w:rFonts w:ascii="Calibri" w:hAnsi="Calibri" w:cs="Calibri"/>
          <w:color w:val="000000"/>
          <w:lang w:val="en-US"/>
        </w:rPr>
        <w:t>These results need to be confirmed in a larger study with greater power, including post-operative patients and patients suffering from dementia.</w:t>
      </w:r>
    </w:p>
    <w:p w14:paraId="78BC79C0" w14:textId="77777777" w:rsidR="0041598D" w:rsidRPr="0041598D" w:rsidRDefault="0041598D" w:rsidP="004C79B5">
      <w:pPr>
        <w:spacing w:line="360" w:lineRule="auto"/>
        <w:rPr>
          <w:rFonts w:cstheme="minorHAnsi"/>
          <w:lang w:val="en-US"/>
        </w:rPr>
      </w:pPr>
    </w:p>
    <w:p w14:paraId="78277BBA" w14:textId="77777777" w:rsidR="00EE6E8C" w:rsidRDefault="00EE6E8C" w:rsidP="004C79B5">
      <w:pPr>
        <w:spacing w:line="360" w:lineRule="auto"/>
        <w:rPr>
          <w:rFonts w:cstheme="minorHAnsi"/>
          <w:b/>
          <w:lang w:val="en-US"/>
        </w:rPr>
      </w:pPr>
      <w:r>
        <w:rPr>
          <w:rFonts w:cstheme="minorHAnsi"/>
          <w:b/>
          <w:lang w:val="en-US"/>
        </w:rPr>
        <w:t>Key words</w:t>
      </w:r>
    </w:p>
    <w:p w14:paraId="3FB09155" w14:textId="448F58C6" w:rsidR="001B2345" w:rsidRPr="00EE6E8C" w:rsidRDefault="00207F50" w:rsidP="00A02828">
      <w:pPr>
        <w:spacing w:line="360" w:lineRule="auto"/>
        <w:rPr>
          <w:rFonts w:cstheme="minorHAnsi"/>
          <w:lang w:val="en-US"/>
        </w:rPr>
      </w:pPr>
      <w:r>
        <w:rPr>
          <w:rFonts w:cstheme="minorHAnsi"/>
          <w:lang w:val="en-US"/>
        </w:rPr>
        <w:t xml:space="preserve">Opioids, </w:t>
      </w:r>
      <w:r w:rsidR="00327C5C">
        <w:rPr>
          <w:rFonts w:cstheme="minorHAnsi"/>
          <w:lang w:val="en-US"/>
        </w:rPr>
        <w:t>older adults, acute locomotor pain</w:t>
      </w:r>
    </w:p>
    <w:p w14:paraId="06000F6A" w14:textId="77777777" w:rsidR="001B2345" w:rsidRPr="00EE6E8C" w:rsidRDefault="001B2345">
      <w:pPr>
        <w:rPr>
          <w:lang w:val="en-US"/>
        </w:rPr>
      </w:pPr>
    </w:p>
    <w:p w14:paraId="4B5BF8E0" w14:textId="77777777" w:rsidR="001B2345" w:rsidRPr="009A7C94" w:rsidRDefault="001B2345">
      <w:pPr>
        <w:rPr>
          <w:b/>
          <w:lang w:val="en-US"/>
        </w:rPr>
      </w:pPr>
      <w:r w:rsidRPr="009A7C94">
        <w:rPr>
          <w:b/>
          <w:lang w:val="en-US"/>
        </w:rPr>
        <w:t>Introduction</w:t>
      </w:r>
    </w:p>
    <w:p w14:paraId="39C238F4" w14:textId="27F8F3C7" w:rsidR="009A7C94" w:rsidRDefault="009A7C94" w:rsidP="00F738B1">
      <w:pPr>
        <w:spacing w:after="200" w:line="360" w:lineRule="auto"/>
        <w:rPr>
          <w:rFonts w:eastAsia="Times New Roman" w:cs="Times New Roman"/>
          <w:lang w:val="en-US"/>
        </w:rPr>
      </w:pPr>
      <w:r w:rsidRPr="009A7C94">
        <w:rPr>
          <w:rFonts w:eastAsia="Times New Roman" w:cs="Times New Roman"/>
          <w:lang w:val="en-US"/>
        </w:rPr>
        <w:t>Pain is frequent in</w:t>
      </w:r>
      <w:r>
        <w:rPr>
          <w:rFonts w:eastAsia="Times New Roman" w:cs="Times New Roman"/>
          <w:lang w:val="en-US"/>
        </w:rPr>
        <w:t xml:space="preserve"> every age category, but localiz</w:t>
      </w:r>
      <w:r w:rsidRPr="009A7C94">
        <w:rPr>
          <w:rFonts w:eastAsia="Times New Roman" w:cs="Times New Roman"/>
          <w:lang w:val="en-US"/>
        </w:rPr>
        <w:t xml:space="preserve">ation, pattern and consequences of pain change with increasing age. </w:t>
      </w:r>
      <w:r>
        <w:rPr>
          <w:rFonts w:eastAsia="Times New Roman" w:cs="Times New Roman"/>
          <w:lang w:val="en-US"/>
        </w:rPr>
        <w:t>Older persons report more frequently pain in joints and extremities c</w:t>
      </w:r>
      <w:r w:rsidR="002B182F">
        <w:rPr>
          <w:rFonts w:eastAsia="Times New Roman" w:cs="Times New Roman"/>
          <w:lang w:val="en-US"/>
        </w:rPr>
        <w:t>ompared to younger people (1, 2</w:t>
      </w:r>
      <w:r>
        <w:rPr>
          <w:rFonts w:eastAsia="Times New Roman" w:cs="Times New Roman"/>
          <w:lang w:val="en-US"/>
        </w:rPr>
        <w:t>). Furthermore, the older the patient, the more impact pain has on activities of dail</w:t>
      </w:r>
      <w:r w:rsidR="00A743C5">
        <w:rPr>
          <w:rFonts w:eastAsia="Times New Roman" w:cs="Times New Roman"/>
          <w:lang w:val="en-US"/>
        </w:rPr>
        <w:t>y living and care dependency (3).</w:t>
      </w:r>
      <w:r w:rsidR="00FE4861">
        <w:rPr>
          <w:rFonts w:eastAsia="Times New Roman" w:cs="Times New Roman"/>
          <w:lang w:val="en-US"/>
        </w:rPr>
        <w:t xml:space="preserve"> Acute pain is present in more than two-thirds of patients hospitalized on an acute geriatric ward, and less than hal</w:t>
      </w:r>
      <w:r w:rsidR="002B182F">
        <w:rPr>
          <w:rFonts w:eastAsia="Times New Roman" w:cs="Times New Roman"/>
          <w:lang w:val="en-US"/>
        </w:rPr>
        <w:t>f of them is treated for pain (4</w:t>
      </w:r>
      <w:r w:rsidR="00FE4861">
        <w:rPr>
          <w:rFonts w:eastAsia="Times New Roman" w:cs="Times New Roman"/>
          <w:lang w:val="en-US"/>
        </w:rPr>
        <w:t>).</w:t>
      </w:r>
      <w:r w:rsidR="004D2477">
        <w:rPr>
          <w:rFonts w:eastAsia="Times New Roman" w:cs="Times New Roman"/>
          <w:lang w:val="en-US"/>
        </w:rPr>
        <w:t xml:space="preserve"> Lack of adequate pain treatment is often due to the assumpti</w:t>
      </w:r>
      <w:r w:rsidR="00C03ABB">
        <w:rPr>
          <w:rFonts w:eastAsia="Times New Roman" w:cs="Times New Roman"/>
          <w:lang w:val="en-US"/>
        </w:rPr>
        <w:t xml:space="preserve">on that pain is part of old age, </w:t>
      </w:r>
      <w:r w:rsidR="006F36E1">
        <w:rPr>
          <w:rFonts w:eastAsia="Times New Roman" w:cs="Times New Roman"/>
          <w:lang w:val="en-US"/>
        </w:rPr>
        <w:t>to</w:t>
      </w:r>
      <w:r w:rsidR="00C03ABB">
        <w:rPr>
          <w:rFonts w:eastAsia="Times New Roman" w:cs="Times New Roman"/>
          <w:lang w:val="en-US"/>
        </w:rPr>
        <w:t xml:space="preserve"> the influence of cognitive impairment on r</w:t>
      </w:r>
      <w:r w:rsidR="004D2477">
        <w:rPr>
          <w:rFonts w:eastAsia="Times New Roman" w:cs="Times New Roman"/>
          <w:lang w:val="en-US"/>
        </w:rPr>
        <w:t>ecognizing and expressing pain</w:t>
      </w:r>
      <w:r w:rsidR="00C03ABB">
        <w:rPr>
          <w:rFonts w:eastAsia="Times New Roman" w:cs="Times New Roman"/>
          <w:lang w:val="en-US"/>
        </w:rPr>
        <w:t xml:space="preserve">, and </w:t>
      </w:r>
      <w:r w:rsidR="006F36E1">
        <w:rPr>
          <w:rFonts w:eastAsia="Times New Roman" w:cs="Times New Roman"/>
          <w:lang w:val="en-US"/>
        </w:rPr>
        <w:t>to</w:t>
      </w:r>
      <w:r w:rsidR="004D2477">
        <w:rPr>
          <w:rFonts w:eastAsia="Times New Roman" w:cs="Times New Roman"/>
          <w:lang w:val="en-US"/>
        </w:rPr>
        <w:t xml:space="preserve"> anxiety for side effects of treatment </w:t>
      </w:r>
      <w:r w:rsidR="002B182F">
        <w:rPr>
          <w:rFonts w:eastAsia="Times New Roman" w:cs="Times New Roman"/>
          <w:lang w:val="en-US"/>
        </w:rPr>
        <w:t>(5</w:t>
      </w:r>
      <w:r w:rsidR="004D2477">
        <w:rPr>
          <w:rFonts w:eastAsia="Times New Roman" w:cs="Times New Roman"/>
          <w:lang w:val="en-US"/>
        </w:rPr>
        <w:t xml:space="preserve">, </w:t>
      </w:r>
      <w:r w:rsidR="002B182F">
        <w:rPr>
          <w:rFonts w:eastAsia="Times New Roman" w:cs="Times New Roman"/>
          <w:lang w:val="en-US"/>
        </w:rPr>
        <w:t>6</w:t>
      </w:r>
      <w:r w:rsidR="004D2477">
        <w:rPr>
          <w:rFonts w:eastAsia="Times New Roman" w:cs="Times New Roman"/>
          <w:lang w:val="en-US"/>
        </w:rPr>
        <w:t xml:space="preserve">, </w:t>
      </w:r>
      <w:r w:rsidR="002B182F">
        <w:rPr>
          <w:rFonts w:eastAsia="Times New Roman" w:cs="Times New Roman"/>
          <w:lang w:val="en-US"/>
        </w:rPr>
        <w:t>7</w:t>
      </w:r>
      <w:r w:rsidR="007A48E7">
        <w:rPr>
          <w:rFonts w:eastAsia="Times New Roman" w:cs="Times New Roman"/>
          <w:lang w:val="en-US"/>
        </w:rPr>
        <w:t>).</w:t>
      </w:r>
    </w:p>
    <w:p w14:paraId="6806CE1C" w14:textId="6EBAAA2B" w:rsidR="00337A0C" w:rsidRDefault="00337A0C" w:rsidP="00F738B1">
      <w:pPr>
        <w:spacing w:after="200" w:line="360" w:lineRule="auto"/>
        <w:rPr>
          <w:rFonts w:eastAsia="Times New Roman" w:cs="Times New Roman"/>
          <w:lang w:val="en-US"/>
        </w:rPr>
      </w:pPr>
      <w:r>
        <w:rPr>
          <w:rFonts w:eastAsia="Times New Roman" w:cs="Times New Roman"/>
          <w:lang w:val="en-US"/>
        </w:rPr>
        <w:t xml:space="preserve">Opioids are widely known as being potent pain relievers. Despite that, their use is often limited because of side effects (or fear of side effects), especially in older individuals. </w:t>
      </w:r>
      <w:r w:rsidR="009143DD">
        <w:rPr>
          <w:rFonts w:eastAsia="Times New Roman" w:cs="Times New Roman"/>
          <w:lang w:val="en-US"/>
        </w:rPr>
        <w:t xml:space="preserve">A major challenge when treating older </w:t>
      </w:r>
      <w:r w:rsidR="006F36E1">
        <w:rPr>
          <w:rFonts w:eastAsia="Times New Roman" w:cs="Times New Roman"/>
          <w:lang w:val="en-US"/>
        </w:rPr>
        <w:t>patients</w:t>
      </w:r>
      <w:r w:rsidR="009143DD">
        <w:rPr>
          <w:rFonts w:eastAsia="Times New Roman" w:cs="Times New Roman"/>
          <w:lang w:val="en-US"/>
        </w:rPr>
        <w:t xml:space="preserve"> with opioids is indeed the risk of adverse effects. This </w:t>
      </w:r>
      <w:r w:rsidR="003A59DA">
        <w:rPr>
          <w:rFonts w:eastAsia="Times New Roman" w:cs="Times New Roman"/>
          <w:lang w:val="en-US"/>
        </w:rPr>
        <w:t>is mostly</w:t>
      </w:r>
      <w:r w:rsidR="009143DD">
        <w:rPr>
          <w:rFonts w:eastAsia="Times New Roman" w:cs="Times New Roman"/>
          <w:lang w:val="en-US"/>
        </w:rPr>
        <w:t xml:space="preserve"> due to </w:t>
      </w:r>
      <w:r w:rsidR="006F36E1">
        <w:rPr>
          <w:rFonts w:eastAsia="Times New Roman" w:cs="Times New Roman"/>
          <w:lang w:val="en-US"/>
        </w:rPr>
        <w:t>a</w:t>
      </w:r>
      <w:r w:rsidR="009143DD">
        <w:rPr>
          <w:rFonts w:eastAsia="Times New Roman" w:cs="Times New Roman"/>
          <w:lang w:val="en-US"/>
        </w:rPr>
        <w:t>lterations in pharmacokinetics occurring with normal aging</w:t>
      </w:r>
      <w:r w:rsidR="00C14BD3">
        <w:rPr>
          <w:rFonts w:eastAsia="Times New Roman" w:cs="Times New Roman"/>
          <w:lang w:val="en-US"/>
        </w:rPr>
        <w:t>, polypharmacy and more comorbidities</w:t>
      </w:r>
      <w:r w:rsidR="009143DD">
        <w:rPr>
          <w:rFonts w:eastAsia="Times New Roman" w:cs="Times New Roman"/>
          <w:lang w:val="en-US"/>
        </w:rPr>
        <w:t xml:space="preserve">. </w:t>
      </w:r>
      <w:r w:rsidR="00175442">
        <w:rPr>
          <w:rFonts w:eastAsia="Times New Roman" w:cs="Times New Roman"/>
          <w:lang w:val="en-US"/>
        </w:rPr>
        <w:t>The most common side effects are sedation, respiratory depression, decline in liver function, neurotoxicity with seizures, constipation, nausea and vomitus, risk of falling and urinary retention (</w:t>
      </w:r>
      <w:r w:rsidR="002B182F">
        <w:rPr>
          <w:rFonts w:eastAsia="Times New Roman" w:cs="Times New Roman"/>
          <w:lang w:val="en-US"/>
        </w:rPr>
        <w:t>8</w:t>
      </w:r>
      <w:r w:rsidR="00175442">
        <w:rPr>
          <w:rFonts w:eastAsia="Times New Roman" w:cs="Times New Roman"/>
          <w:lang w:val="en-US"/>
        </w:rPr>
        <w:t xml:space="preserve">, 9). </w:t>
      </w:r>
      <w:r>
        <w:rPr>
          <w:rFonts w:eastAsia="Times New Roman" w:cs="Times New Roman"/>
          <w:lang w:val="en-US"/>
        </w:rPr>
        <w:t>Understanding appropriate indications and being able to recognize and manage side effects, as well as selection of the correct opioid based on patient characteristics, effect</w:t>
      </w:r>
      <w:r w:rsidR="009143DD">
        <w:rPr>
          <w:rFonts w:eastAsia="Times New Roman" w:cs="Times New Roman"/>
          <w:lang w:val="en-US"/>
        </w:rPr>
        <w:t>s</w:t>
      </w:r>
      <w:r>
        <w:rPr>
          <w:rFonts w:eastAsia="Times New Roman" w:cs="Times New Roman"/>
          <w:lang w:val="en-US"/>
        </w:rPr>
        <w:t xml:space="preserve"> and side effects, are key elements in treating older patients with acute and chronic pain (</w:t>
      </w:r>
      <w:r w:rsidR="002B182F">
        <w:rPr>
          <w:rFonts w:eastAsia="Times New Roman" w:cs="Times New Roman"/>
          <w:lang w:val="en-US"/>
        </w:rPr>
        <w:t>10, 11, 12</w:t>
      </w:r>
      <w:r>
        <w:rPr>
          <w:rFonts w:eastAsia="Times New Roman" w:cs="Times New Roman"/>
          <w:lang w:val="en-US"/>
        </w:rPr>
        <w:t>).</w:t>
      </w:r>
      <w:r w:rsidR="009143DD">
        <w:rPr>
          <w:rFonts w:eastAsia="Times New Roman" w:cs="Times New Roman"/>
          <w:lang w:val="en-US"/>
        </w:rPr>
        <w:t xml:space="preserve"> However, there is a lack of literature concerning this problem, </w:t>
      </w:r>
      <w:r w:rsidR="00200347">
        <w:rPr>
          <w:rFonts w:eastAsia="Times New Roman" w:cs="Times New Roman"/>
          <w:lang w:val="en-US"/>
        </w:rPr>
        <w:t xml:space="preserve">especially on short term use of opioids in older adults, </w:t>
      </w:r>
      <w:r w:rsidR="009143DD">
        <w:rPr>
          <w:rFonts w:eastAsia="Times New Roman" w:cs="Times New Roman"/>
          <w:lang w:val="en-US"/>
        </w:rPr>
        <w:t>and further research on the use of opioids and their side effects in older individuals is needed.</w:t>
      </w:r>
    </w:p>
    <w:p w14:paraId="001DF077" w14:textId="7F129CD1" w:rsidR="007A48E7" w:rsidRPr="00936F77" w:rsidRDefault="009143DD" w:rsidP="00F738B1">
      <w:pPr>
        <w:spacing w:after="200" w:line="360" w:lineRule="auto"/>
        <w:rPr>
          <w:rFonts w:eastAsia="Times New Roman" w:cs="Times New Roman"/>
          <w:lang w:val="en-US"/>
        </w:rPr>
      </w:pPr>
      <w:r w:rsidRPr="00D12352">
        <w:rPr>
          <w:rFonts w:eastAsia="Times New Roman" w:cs="Times New Roman"/>
          <w:lang w:val="en-US"/>
        </w:rPr>
        <w:t xml:space="preserve">The purpose of this </w:t>
      </w:r>
      <w:r w:rsidR="002A3BA9">
        <w:rPr>
          <w:rFonts w:eastAsia="Times New Roman" w:cs="Times New Roman"/>
          <w:lang w:val="en-US"/>
        </w:rPr>
        <w:t xml:space="preserve">preliminary </w:t>
      </w:r>
      <w:r w:rsidRPr="00D12352">
        <w:rPr>
          <w:rFonts w:eastAsia="Times New Roman" w:cs="Times New Roman"/>
          <w:lang w:val="en-US"/>
        </w:rPr>
        <w:t xml:space="preserve">study </w:t>
      </w:r>
      <w:r w:rsidR="00D12352" w:rsidRPr="00D12352">
        <w:rPr>
          <w:rFonts w:eastAsia="Times New Roman" w:cs="Times New Roman"/>
          <w:lang w:val="en-US"/>
        </w:rPr>
        <w:t xml:space="preserve">is to compare </w:t>
      </w:r>
      <w:r w:rsidR="00D12352">
        <w:rPr>
          <w:rFonts w:eastAsia="Times New Roman" w:cs="Times New Roman"/>
          <w:lang w:val="en-US"/>
        </w:rPr>
        <w:t xml:space="preserve">effectiveness and safety of </w:t>
      </w:r>
      <w:r w:rsidR="00D12352" w:rsidRPr="00D12352">
        <w:rPr>
          <w:rFonts w:eastAsia="Times New Roman" w:cs="Times New Roman"/>
          <w:lang w:val="en-US"/>
        </w:rPr>
        <w:t xml:space="preserve">weak versus strong opioids in a short-term treatment schedule in older patients with </w:t>
      </w:r>
      <w:r w:rsidR="00D12352">
        <w:rPr>
          <w:rFonts w:eastAsia="Times New Roman" w:cs="Times New Roman"/>
          <w:lang w:val="en-US"/>
        </w:rPr>
        <w:t xml:space="preserve">acute </w:t>
      </w:r>
      <w:r w:rsidR="00D12352" w:rsidRPr="00D12352">
        <w:rPr>
          <w:rFonts w:eastAsia="Times New Roman" w:cs="Times New Roman"/>
          <w:lang w:val="en-US"/>
        </w:rPr>
        <w:t xml:space="preserve">moderate to severe </w:t>
      </w:r>
      <w:r w:rsidR="00D12352">
        <w:rPr>
          <w:rFonts w:eastAsia="Times New Roman" w:cs="Times New Roman"/>
          <w:lang w:val="en-US"/>
        </w:rPr>
        <w:t>locomotor pain.</w:t>
      </w:r>
    </w:p>
    <w:p w14:paraId="3073FBB9" w14:textId="77777777" w:rsidR="00865AB6" w:rsidRPr="00936F77" w:rsidRDefault="00865AB6" w:rsidP="00F738B1">
      <w:pPr>
        <w:spacing w:after="200" w:line="360" w:lineRule="auto"/>
        <w:rPr>
          <w:rFonts w:eastAsia="Times New Roman" w:cs="Times New Roman"/>
          <w:lang w:val="en-US"/>
        </w:rPr>
      </w:pPr>
    </w:p>
    <w:p w14:paraId="24439475" w14:textId="6F168344" w:rsidR="001B2345" w:rsidRPr="00865AB6" w:rsidRDefault="001B2345">
      <w:pPr>
        <w:rPr>
          <w:b/>
          <w:lang w:val="en-US"/>
        </w:rPr>
      </w:pPr>
      <w:r w:rsidRPr="00865AB6">
        <w:rPr>
          <w:b/>
          <w:lang w:val="en-US"/>
        </w:rPr>
        <w:t>Methods</w:t>
      </w:r>
    </w:p>
    <w:p w14:paraId="021E9AE2" w14:textId="27F58005" w:rsidR="00865AB6" w:rsidRPr="00865AB6" w:rsidRDefault="00865AB6" w:rsidP="00865AB6">
      <w:pPr>
        <w:rPr>
          <w:b/>
          <w:i/>
          <w:lang w:val="en-US"/>
        </w:rPr>
      </w:pPr>
      <w:r>
        <w:rPr>
          <w:b/>
          <w:i/>
          <w:lang w:val="en-US"/>
        </w:rPr>
        <w:t>Design and study population</w:t>
      </w:r>
    </w:p>
    <w:p w14:paraId="21466E59" w14:textId="0D68651B" w:rsidR="00C84369" w:rsidRDefault="00865AB6" w:rsidP="00C84369">
      <w:pPr>
        <w:spacing w:line="360" w:lineRule="auto"/>
        <w:rPr>
          <w:lang w:val="en-US"/>
        </w:rPr>
      </w:pPr>
      <w:r w:rsidRPr="00865AB6">
        <w:rPr>
          <w:lang w:val="en-US"/>
        </w:rPr>
        <w:t>We conducted a multi</w:t>
      </w:r>
      <w:r w:rsidR="00393D99">
        <w:rPr>
          <w:lang w:val="en-US"/>
        </w:rPr>
        <w:t>-center</w:t>
      </w:r>
      <w:r>
        <w:rPr>
          <w:lang w:val="en-US"/>
        </w:rPr>
        <w:t xml:space="preserve"> prospective randomiz</w:t>
      </w:r>
      <w:r w:rsidRPr="00865AB6">
        <w:rPr>
          <w:lang w:val="en-US"/>
        </w:rPr>
        <w:t xml:space="preserve">ed study </w:t>
      </w:r>
      <w:r>
        <w:rPr>
          <w:lang w:val="en-US"/>
        </w:rPr>
        <w:t>on patients admitted to the acute geriatric ward of 3 Belgian hospitals</w:t>
      </w:r>
      <w:r w:rsidR="00C84369">
        <w:rPr>
          <w:lang w:val="en-US"/>
        </w:rPr>
        <w:t>, during a 4-years period.</w:t>
      </w:r>
      <w:r>
        <w:rPr>
          <w:lang w:val="en-US"/>
        </w:rPr>
        <w:t xml:space="preserve"> </w:t>
      </w:r>
      <w:r w:rsidR="00C84369">
        <w:rPr>
          <w:lang w:val="en-US"/>
        </w:rPr>
        <w:t xml:space="preserve">Patients included were 70 years or older, admitted to the acute geriatric ward and suffering from acute (less than 72 hours) moderate to severe </w:t>
      </w:r>
      <w:r w:rsidR="004A388E">
        <w:rPr>
          <w:lang w:val="en-US"/>
        </w:rPr>
        <w:t>(numeric rating scale (NRS)</w:t>
      </w:r>
      <w:r w:rsidR="004A388E" w:rsidRPr="004A388E">
        <w:rPr>
          <w:lang w:val="en-US"/>
        </w:rPr>
        <w:t xml:space="preserve"> ≥ 5)</w:t>
      </w:r>
      <w:r w:rsidR="004A388E">
        <w:rPr>
          <w:lang w:val="en-US"/>
        </w:rPr>
        <w:t xml:space="preserve"> </w:t>
      </w:r>
      <w:r w:rsidR="00C84369">
        <w:rPr>
          <w:lang w:val="en-US"/>
        </w:rPr>
        <w:t>locomotor pain</w:t>
      </w:r>
      <w:r w:rsidR="00B57F7C">
        <w:rPr>
          <w:lang w:val="en-US"/>
        </w:rPr>
        <w:t xml:space="preserve"> on at least one moment on the day of inclusion</w:t>
      </w:r>
      <w:r w:rsidR="00C84369">
        <w:rPr>
          <w:lang w:val="en-US"/>
        </w:rPr>
        <w:t xml:space="preserve">. </w:t>
      </w:r>
      <w:r w:rsidR="004A388E">
        <w:rPr>
          <w:lang w:val="en-US"/>
        </w:rPr>
        <w:t xml:space="preserve">Informed consent was obtained. Exclusion criteria were treatment with weak or strong </w:t>
      </w:r>
      <w:r w:rsidR="004A388E">
        <w:rPr>
          <w:lang w:val="en-US"/>
        </w:rPr>
        <w:lastRenderedPageBreak/>
        <w:t>opioids during at least two consecutive weeks in six months prior to the inclusion, need for surgical intervention, other types of pain (inflammatory pain, malignant pain, pain due to ischemia, purely neuropathic pain, chronic pain without flare-up), end-of-life, severe renal failure (chronic kidney disease IV-V) and liver function decline (level of transaminases higher than 2 times reference value)</w:t>
      </w:r>
      <w:r w:rsidR="00393D99">
        <w:rPr>
          <w:lang w:val="en-US"/>
        </w:rPr>
        <w:t>, or not being able to sign the written informed consent</w:t>
      </w:r>
      <w:r w:rsidR="004A388E">
        <w:rPr>
          <w:lang w:val="en-US"/>
        </w:rPr>
        <w:t>.</w:t>
      </w:r>
    </w:p>
    <w:p w14:paraId="3A6847E1" w14:textId="15770CAC" w:rsidR="004A388E" w:rsidRDefault="004A388E" w:rsidP="004A388E">
      <w:pPr>
        <w:spacing w:line="480" w:lineRule="auto"/>
        <w:rPr>
          <w:rFonts w:eastAsia="Times New Roman" w:cstheme="minorHAnsi"/>
          <w:lang w:val="en-US"/>
        </w:rPr>
      </w:pPr>
      <w:r w:rsidRPr="004A388E">
        <w:rPr>
          <w:rFonts w:eastAsia="Times New Roman" w:cstheme="minorHAnsi"/>
          <w:lang w:val="en-US"/>
        </w:rPr>
        <w:t>Approval of the ethics c</w:t>
      </w:r>
      <w:r w:rsidRPr="00564874">
        <w:rPr>
          <w:rFonts w:eastAsia="Times New Roman" w:cstheme="minorHAnsi"/>
          <w:lang w:val="en-US"/>
        </w:rPr>
        <w:t>ommittee was obtained on September</w:t>
      </w:r>
      <w:r w:rsidRPr="004A388E">
        <w:rPr>
          <w:rFonts w:eastAsia="Times New Roman" w:cstheme="minorHAnsi"/>
          <w:lang w:val="en-US"/>
        </w:rPr>
        <w:t xml:space="preserve"> 1</w:t>
      </w:r>
      <w:r w:rsidRPr="00564874">
        <w:rPr>
          <w:rFonts w:eastAsia="Times New Roman" w:cstheme="minorHAnsi"/>
          <w:lang w:val="en-US"/>
        </w:rPr>
        <w:t>4</w:t>
      </w:r>
      <w:r w:rsidRPr="004A388E">
        <w:rPr>
          <w:rFonts w:eastAsia="Times New Roman" w:cstheme="minorHAnsi"/>
          <w:vertAlign w:val="superscript"/>
          <w:lang w:val="en-US"/>
        </w:rPr>
        <w:t>th</w:t>
      </w:r>
      <w:r w:rsidRPr="00564874">
        <w:rPr>
          <w:rFonts w:eastAsia="Times New Roman" w:cstheme="minorHAnsi"/>
          <w:lang w:val="en-US"/>
        </w:rPr>
        <w:t>, 2016</w:t>
      </w:r>
      <w:r w:rsidRPr="004A388E">
        <w:rPr>
          <w:rFonts w:eastAsia="Times New Roman" w:cstheme="minorHAnsi"/>
          <w:lang w:val="en-US"/>
        </w:rPr>
        <w:t>.</w:t>
      </w:r>
    </w:p>
    <w:p w14:paraId="4B9C55B4" w14:textId="6F802F11" w:rsidR="00247A02" w:rsidRDefault="0095294F" w:rsidP="00A54C76">
      <w:pPr>
        <w:spacing w:line="360" w:lineRule="auto"/>
        <w:rPr>
          <w:lang w:val="en-US"/>
        </w:rPr>
      </w:pPr>
      <w:r>
        <w:rPr>
          <w:lang w:val="en-US"/>
        </w:rPr>
        <w:t>Patients were randomized in</w:t>
      </w:r>
      <w:r w:rsidR="004C79B5">
        <w:rPr>
          <w:lang w:val="en-US"/>
        </w:rPr>
        <w:t>to</w:t>
      </w:r>
      <w:r>
        <w:rPr>
          <w:lang w:val="en-US"/>
        </w:rPr>
        <w:t xml:space="preserve"> 2 treatment groups. </w:t>
      </w:r>
      <w:r w:rsidR="00393D99">
        <w:rPr>
          <w:lang w:val="en-US"/>
        </w:rPr>
        <w:t>The first group</w:t>
      </w:r>
      <w:r w:rsidR="00F93242">
        <w:rPr>
          <w:lang w:val="en-US"/>
        </w:rPr>
        <w:t xml:space="preserve"> (group I)</w:t>
      </w:r>
      <w:r w:rsidR="00393D99">
        <w:rPr>
          <w:lang w:val="en-US"/>
        </w:rPr>
        <w:t xml:space="preserve"> was treated with tramadol extended release (ER) 50mg twice a day, with tramadol instant release (IR) 50m</w:t>
      </w:r>
      <w:r w:rsidR="00AF0D9E">
        <w:rPr>
          <w:lang w:val="en-US"/>
        </w:rPr>
        <w:t>g as rescue medication in case o</w:t>
      </w:r>
      <w:r w:rsidR="00393D99">
        <w:rPr>
          <w:lang w:val="en-US"/>
        </w:rPr>
        <w:t xml:space="preserve">f breakthrough pain, with a maximum of four times a day. The second group </w:t>
      </w:r>
      <w:r w:rsidR="00F93242">
        <w:rPr>
          <w:lang w:val="en-US"/>
        </w:rPr>
        <w:t xml:space="preserve">(group II) </w:t>
      </w:r>
      <w:r w:rsidR="00393D99">
        <w:rPr>
          <w:lang w:val="en-US"/>
        </w:rPr>
        <w:t>was treated with oxycodon</w:t>
      </w:r>
      <w:r w:rsidR="006228C1">
        <w:rPr>
          <w:lang w:val="en-US"/>
        </w:rPr>
        <w:t>e</w:t>
      </w:r>
      <w:r w:rsidR="00393D99">
        <w:rPr>
          <w:lang w:val="en-US"/>
        </w:rPr>
        <w:t xml:space="preserve"> extended release (ER) 5mg twice a day, with oxycodon</w:t>
      </w:r>
      <w:r w:rsidR="006228C1">
        <w:rPr>
          <w:lang w:val="en-US"/>
        </w:rPr>
        <w:t>e</w:t>
      </w:r>
      <w:r w:rsidR="00393D99">
        <w:rPr>
          <w:lang w:val="en-US"/>
        </w:rPr>
        <w:t xml:space="preserve"> instant release (IR) 5mg as rescue medication </w:t>
      </w:r>
      <w:r w:rsidR="00AF0D9E">
        <w:rPr>
          <w:lang w:val="en-US"/>
        </w:rPr>
        <w:t>in case o</w:t>
      </w:r>
      <w:r w:rsidR="00393D99">
        <w:rPr>
          <w:lang w:val="en-US"/>
        </w:rPr>
        <w:t>f breakthrough pain, with a maximum of six times a day.</w:t>
      </w:r>
      <w:r w:rsidR="00C84833">
        <w:rPr>
          <w:lang w:val="en-US"/>
        </w:rPr>
        <w:t xml:space="preserve"> </w:t>
      </w:r>
      <w:r w:rsidR="00C84833" w:rsidRPr="00936F77">
        <w:rPr>
          <w:lang w:val="en-US"/>
        </w:rPr>
        <w:t>Patients were followed during seven days.</w:t>
      </w:r>
    </w:p>
    <w:p w14:paraId="0A9A0CE4" w14:textId="77777777" w:rsidR="00CC703D" w:rsidRPr="00CC703D" w:rsidRDefault="00CC703D" w:rsidP="00A54C76">
      <w:pPr>
        <w:spacing w:line="360" w:lineRule="auto"/>
        <w:rPr>
          <w:lang w:val="en-US"/>
        </w:rPr>
      </w:pPr>
    </w:p>
    <w:p w14:paraId="61D9145F" w14:textId="302DA736" w:rsidR="00865AB6" w:rsidRPr="00936F77" w:rsidRDefault="00865AB6">
      <w:pPr>
        <w:rPr>
          <w:b/>
          <w:i/>
          <w:lang w:val="en-US"/>
        </w:rPr>
      </w:pPr>
      <w:r w:rsidRPr="00936F77">
        <w:rPr>
          <w:b/>
          <w:i/>
          <w:lang w:val="en-US"/>
        </w:rPr>
        <w:t xml:space="preserve">Variables </w:t>
      </w:r>
    </w:p>
    <w:p w14:paraId="001D11D7" w14:textId="0C7A4159" w:rsidR="00FE3604" w:rsidRDefault="00FE3604" w:rsidP="00FE3604">
      <w:pPr>
        <w:pStyle w:val="Default"/>
        <w:spacing w:line="360" w:lineRule="auto"/>
        <w:rPr>
          <w:sz w:val="22"/>
          <w:szCs w:val="22"/>
          <w:lang w:val="en-US"/>
        </w:rPr>
      </w:pPr>
      <w:r w:rsidRPr="00FE3604">
        <w:rPr>
          <w:sz w:val="22"/>
          <w:szCs w:val="22"/>
          <w:lang w:val="en-US"/>
        </w:rPr>
        <w:t xml:space="preserve">At inclusion, following data were collected: gender, age, living situation, </w:t>
      </w:r>
      <w:r w:rsidR="005B4C83" w:rsidRPr="005B4C83">
        <w:rPr>
          <w:sz w:val="22"/>
          <w:szCs w:val="22"/>
          <w:lang w:val="en-US"/>
        </w:rPr>
        <w:t xml:space="preserve">Katz index of </w:t>
      </w:r>
      <w:r w:rsidR="005B4C83">
        <w:rPr>
          <w:sz w:val="22"/>
          <w:szCs w:val="22"/>
          <w:lang w:val="en-US"/>
        </w:rPr>
        <w:t>Independency in Activities of daily living</w:t>
      </w:r>
      <w:r>
        <w:rPr>
          <w:sz w:val="22"/>
          <w:szCs w:val="22"/>
          <w:lang w:val="en-US"/>
        </w:rPr>
        <w:t xml:space="preserve">, </w:t>
      </w:r>
      <w:r w:rsidR="006228C1">
        <w:rPr>
          <w:sz w:val="22"/>
          <w:szCs w:val="22"/>
          <w:lang w:val="en-US"/>
        </w:rPr>
        <w:t xml:space="preserve">geriatric risk profile, </w:t>
      </w:r>
      <w:r>
        <w:rPr>
          <w:sz w:val="22"/>
          <w:szCs w:val="22"/>
          <w:lang w:val="en-US"/>
        </w:rPr>
        <w:t>etiology and localization of the acute pain, and co-medication.</w:t>
      </w:r>
    </w:p>
    <w:p w14:paraId="39EDF03B" w14:textId="29538302" w:rsidR="00FE3604" w:rsidRPr="00FE3604" w:rsidRDefault="00FE3604" w:rsidP="00FE3604">
      <w:pPr>
        <w:pStyle w:val="Default"/>
        <w:spacing w:line="360" w:lineRule="auto"/>
        <w:rPr>
          <w:sz w:val="22"/>
          <w:szCs w:val="22"/>
          <w:lang w:val="en-US"/>
        </w:rPr>
      </w:pPr>
      <w:r>
        <w:rPr>
          <w:sz w:val="22"/>
          <w:szCs w:val="22"/>
          <w:lang w:val="en-US"/>
        </w:rPr>
        <w:t xml:space="preserve">Thrice a day, pain score was determined (NRS, 0 to 10). Rescue medication was noted. Presence of nausea and vomitus was noted three times a day. Bowel movements as well as urinary retention, confusion, falls or signs of serotonin syndrome were listed. Katz score was calculated on day 0 and day 7. An electrocardiography was taken on day 0 and day 1. </w:t>
      </w:r>
    </w:p>
    <w:p w14:paraId="3C31616E" w14:textId="77777777" w:rsidR="0095294F" w:rsidRPr="00936F77" w:rsidRDefault="0095294F">
      <w:pPr>
        <w:rPr>
          <w:lang w:val="en-US"/>
        </w:rPr>
      </w:pPr>
    </w:p>
    <w:p w14:paraId="6DE92472" w14:textId="4DDDBB55" w:rsidR="00865AB6" w:rsidRPr="004B75F7" w:rsidRDefault="00865AB6">
      <w:pPr>
        <w:rPr>
          <w:b/>
          <w:i/>
          <w:lang w:val="en-US"/>
        </w:rPr>
      </w:pPr>
      <w:r w:rsidRPr="004B75F7">
        <w:rPr>
          <w:b/>
          <w:i/>
          <w:lang w:val="en-US"/>
        </w:rPr>
        <w:t>Statistics</w:t>
      </w:r>
    </w:p>
    <w:p w14:paraId="749BD8FE" w14:textId="043D8F8F" w:rsidR="004B75F7" w:rsidRDefault="004B75F7" w:rsidP="00F93242">
      <w:pPr>
        <w:pStyle w:val="Default"/>
        <w:spacing w:line="360" w:lineRule="auto"/>
        <w:rPr>
          <w:rFonts w:eastAsia="Times New Roman" w:cs="Times New Roman"/>
          <w:sz w:val="22"/>
          <w:szCs w:val="22"/>
          <w:lang w:val="en-US"/>
        </w:rPr>
      </w:pPr>
      <w:r w:rsidRPr="004B75F7">
        <w:rPr>
          <w:sz w:val="22"/>
          <w:szCs w:val="22"/>
          <w:lang w:val="en-US"/>
        </w:rPr>
        <w:t xml:space="preserve">Statistical analysis was performed using the </w:t>
      </w:r>
      <w:r w:rsidRPr="004B75F7">
        <w:rPr>
          <w:rFonts w:eastAsia="Times New Roman" w:cs="Times New Roman"/>
          <w:sz w:val="22"/>
          <w:szCs w:val="22"/>
          <w:lang w:val="en-US"/>
        </w:rPr>
        <w:t>SPSS 27</w:t>
      </w:r>
      <w:r w:rsidR="00462029">
        <w:rPr>
          <w:rFonts w:eastAsia="Times New Roman" w:cs="Times New Roman"/>
          <w:sz w:val="22"/>
          <w:szCs w:val="22"/>
          <w:lang w:val="en-US"/>
        </w:rPr>
        <w:t xml:space="preserve"> </w:t>
      </w:r>
      <w:r w:rsidRPr="004B75F7">
        <w:rPr>
          <w:rFonts w:eastAsia="Times New Roman" w:cs="Times New Roman"/>
          <w:sz w:val="22"/>
          <w:szCs w:val="22"/>
          <w:lang w:val="en-US"/>
        </w:rPr>
        <w:t xml:space="preserve">program (Statistical Package for the Social Sciences </w:t>
      </w:r>
      <w:r>
        <w:rPr>
          <w:rFonts w:eastAsia="Times New Roman" w:cs="Times New Roman"/>
          <w:sz w:val="22"/>
          <w:szCs w:val="22"/>
          <w:lang w:val="en-US"/>
        </w:rPr>
        <w:t>–</w:t>
      </w:r>
      <w:r w:rsidRPr="004B75F7">
        <w:rPr>
          <w:rFonts w:eastAsia="Times New Roman" w:cs="Times New Roman"/>
          <w:sz w:val="22"/>
          <w:szCs w:val="22"/>
          <w:lang w:val="en-US"/>
        </w:rPr>
        <w:t xml:space="preserve"> Windows</w:t>
      </w:r>
      <w:r>
        <w:rPr>
          <w:rFonts w:eastAsia="Times New Roman" w:cs="Times New Roman"/>
          <w:sz w:val="22"/>
          <w:szCs w:val="22"/>
          <w:lang w:val="en-US"/>
        </w:rPr>
        <w:t xml:space="preserve">). Differences between both treatment groups were calculated using the Pearson-chi square test for categorical variables and the Mann-Whitney U test </w:t>
      </w:r>
      <w:r w:rsidRPr="004B75F7">
        <w:rPr>
          <w:rFonts w:eastAsia="Times New Roman" w:cs="Times New Roman"/>
          <w:sz w:val="22"/>
          <w:szCs w:val="22"/>
          <w:lang w:val="en-US"/>
        </w:rPr>
        <w:t>for continuous variables.</w:t>
      </w:r>
      <w:r>
        <w:rPr>
          <w:rFonts w:eastAsia="Times New Roman" w:cs="Times New Roman"/>
          <w:sz w:val="22"/>
          <w:szCs w:val="22"/>
          <w:lang w:val="en-US"/>
        </w:rPr>
        <w:t xml:space="preserve"> The paired Student’s T-test was used to evaluate the evolution of the NRS in both groups, the Pearson-chi square test to evaluate the differences in side effects </w:t>
      </w:r>
      <w:r w:rsidRPr="00D25709">
        <w:rPr>
          <w:rFonts w:eastAsia="Times New Roman" w:cs="Times New Roman"/>
          <w:sz w:val="22"/>
          <w:szCs w:val="22"/>
          <w:lang w:val="en-US"/>
        </w:rPr>
        <w:t>and the evolution in Katz score</w:t>
      </w:r>
      <w:r>
        <w:rPr>
          <w:rFonts w:eastAsia="Times New Roman" w:cs="Times New Roman"/>
          <w:sz w:val="22"/>
          <w:szCs w:val="22"/>
          <w:lang w:val="en-US"/>
        </w:rPr>
        <w:t xml:space="preserve"> between both groups. </w:t>
      </w:r>
      <w:r w:rsidRPr="004B75F7">
        <w:rPr>
          <w:rFonts w:eastAsia="Times New Roman" w:cs="Times New Roman"/>
          <w:sz w:val="22"/>
          <w:szCs w:val="22"/>
          <w:lang w:val="en-US"/>
        </w:rPr>
        <w:t xml:space="preserve">P-levels (α) were considered significant </w:t>
      </w:r>
      <w:r w:rsidRPr="00D25709">
        <w:rPr>
          <w:rFonts w:eastAsia="Times New Roman" w:cs="Times New Roman"/>
          <w:sz w:val="22"/>
          <w:szCs w:val="22"/>
          <w:lang w:val="en-US"/>
        </w:rPr>
        <w:t>if ≤</w:t>
      </w:r>
      <w:r w:rsidRPr="004B75F7">
        <w:rPr>
          <w:rFonts w:eastAsia="Times New Roman" w:cs="Times New Roman"/>
          <w:sz w:val="22"/>
          <w:szCs w:val="22"/>
          <w:lang w:val="en-US"/>
        </w:rPr>
        <w:t xml:space="preserve"> 0.05</w:t>
      </w:r>
      <w:r w:rsidR="00D25709">
        <w:rPr>
          <w:rFonts w:eastAsia="Times New Roman" w:cs="Times New Roman"/>
          <w:sz w:val="22"/>
          <w:szCs w:val="22"/>
          <w:lang w:val="en-US"/>
        </w:rPr>
        <w:t>.</w:t>
      </w:r>
    </w:p>
    <w:p w14:paraId="19AC2BF8" w14:textId="77777777" w:rsidR="004B60CB" w:rsidRDefault="004B60CB" w:rsidP="00F93242">
      <w:pPr>
        <w:pStyle w:val="Default"/>
        <w:spacing w:line="360" w:lineRule="auto"/>
        <w:rPr>
          <w:rFonts w:eastAsia="Times New Roman" w:cs="Times New Roman"/>
          <w:sz w:val="22"/>
          <w:szCs w:val="22"/>
          <w:lang w:val="en-US"/>
        </w:rPr>
      </w:pPr>
    </w:p>
    <w:p w14:paraId="69FD55DD" w14:textId="77777777" w:rsidR="004B75F7" w:rsidRDefault="004B75F7" w:rsidP="004B75F7">
      <w:pPr>
        <w:pStyle w:val="Default"/>
        <w:rPr>
          <w:rFonts w:eastAsia="Times New Roman" w:cs="Times New Roman"/>
          <w:sz w:val="22"/>
          <w:szCs w:val="22"/>
          <w:lang w:val="en-US"/>
        </w:rPr>
      </w:pPr>
    </w:p>
    <w:p w14:paraId="3C6AE83B" w14:textId="77777777" w:rsidR="001B2345" w:rsidRPr="00936F77" w:rsidRDefault="001B2345">
      <w:pPr>
        <w:rPr>
          <w:b/>
          <w:lang w:val="en-US"/>
        </w:rPr>
      </w:pPr>
      <w:r w:rsidRPr="00936F77">
        <w:rPr>
          <w:b/>
          <w:lang w:val="en-US"/>
        </w:rPr>
        <w:t>Results</w:t>
      </w:r>
    </w:p>
    <w:p w14:paraId="5650C734" w14:textId="277A8410" w:rsidR="006E2E97" w:rsidRDefault="00F93242" w:rsidP="00076BE3">
      <w:pPr>
        <w:spacing w:line="360" w:lineRule="auto"/>
        <w:rPr>
          <w:lang w:val="en-US"/>
        </w:rPr>
      </w:pPr>
      <w:r w:rsidRPr="00F93242">
        <w:rPr>
          <w:lang w:val="en-US"/>
        </w:rPr>
        <w:lastRenderedPageBreak/>
        <w:t xml:space="preserve">Forty-nine patients were included, </w:t>
      </w:r>
      <w:r>
        <w:rPr>
          <w:lang w:val="en-US"/>
        </w:rPr>
        <w:t>25 in the tramadol treatment group and 24 in the oxycodone group.</w:t>
      </w:r>
      <w:r w:rsidR="008B38C9">
        <w:rPr>
          <w:lang w:val="en-US"/>
        </w:rPr>
        <w:t xml:space="preserve"> Table 1 provides an overview of patient characteristics. </w:t>
      </w:r>
    </w:p>
    <w:p w14:paraId="28550C77" w14:textId="1EAFE9C3" w:rsidR="006E2E97" w:rsidRPr="006E2E97" w:rsidRDefault="006E2E97" w:rsidP="006E2E97">
      <w:pPr>
        <w:pStyle w:val="Normaalweb"/>
        <w:spacing w:line="360" w:lineRule="auto"/>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M</w:t>
      </w:r>
      <w:r w:rsidRPr="006E2E97">
        <w:rPr>
          <w:rFonts w:asciiTheme="minorHAnsi" w:hAnsiTheme="minorHAnsi" w:cstheme="minorHAnsi"/>
          <w:color w:val="000000"/>
          <w:sz w:val="22"/>
          <w:szCs w:val="22"/>
          <w:lang w:val="en-US"/>
        </w:rPr>
        <w:t>ean NRS decreased significantly between day 0 and 2 of the inclusion, both in the tramadol group (NRS 3.8 (day 0) vs. 2.1 (day 2), p &lt; 0.001) and in the oxycodon</w:t>
      </w:r>
      <w:r w:rsidR="00D0710C">
        <w:rPr>
          <w:rFonts w:asciiTheme="minorHAnsi" w:hAnsiTheme="minorHAnsi" w:cstheme="minorHAnsi"/>
          <w:color w:val="000000"/>
          <w:sz w:val="22"/>
          <w:szCs w:val="22"/>
          <w:lang w:val="en-US"/>
        </w:rPr>
        <w:t>e</w:t>
      </w:r>
      <w:r w:rsidRPr="006E2E97">
        <w:rPr>
          <w:rFonts w:asciiTheme="minorHAnsi" w:hAnsiTheme="minorHAnsi" w:cstheme="minorHAnsi"/>
          <w:color w:val="000000"/>
          <w:sz w:val="22"/>
          <w:szCs w:val="22"/>
          <w:lang w:val="en-US"/>
        </w:rPr>
        <w:t xml:space="preserve"> group (NRS 3.8 (day 0) vs. 2.0 (day 2), p &lt; 0.001).</w:t>
      </w:r>
    </w:p>
    <w:p w14:paraId="6795D3F7" w14:textId="5DA790DD" w:rsidR="006E2E97" w:rsidRPr="006E2E97" w:rsidRDefault="006E2E97" w:rsidP="006E2E97">
      <w:pPr>
        <w:pStyle w:val="Normaalweb"/>
        <w:spacing w:line="360" w:lineRule="auto"/>
        <w:rPr>
          <w:rFonts w:asciiTheme="minorHAnsi" w:hAnsiTheme="minorHAnsi" w:cstheme="minorHAnsi"/>
          <w:color w:val="000000"/>
          <w:sz w:val="22"/>
          <w:szCs w:val="22"/>
          <w:lang w:val="en-US"/>
        </w:rPr>
      </w:pPr>
      <w:r w:rsidRPr="006E2E97">
        <w:rPr>
          <w:rFonts w:asciiTheme="minorHAnsi" w:hAnsiTheme="minorHAnsi" w:cstheme="minorHAnsi"/>
          <w:color w:val="000000"/>
          <w:sz w:val="22"/>
          <w:szCs w:val="22"/>
          <w:lang w:val="en-US"/>
        </w:rPr>
        <w:t>A significant decrease in mean NRS was seen at day 7, both in the tramadol group (NRS 3.8 (day 0) vs. 1.2 (day 7), p &lt; 0.001) as well as in the oxycodon</w:t>
      </w:r>
      <w:r w:rsidR="00D0710C">
        <w:rPr>
          <w:rFonts w:asciiTheme="minorHAnsi" w:hAnsiTheme="minorHAnsi" w:cstheme="minorHAnsi"/>
          <w:color w:val="000000"/>
          <w:sz w:val="22"/>
          <w:szCs w:val="22"/>
          <w:lang w:val="en-US"/>
        </w:rPr>
        <w:t>e</w:t>
      </w:r>
      <w:r w:rsidRPr="006E2E97">
        <w:rPr>
          <w:rFonts w:asciiTheme="minorHAnsi" w:hAnsiTheme="minorHAnsi" w:cstheme="minorHAnsi"/>
          <w:color w:val="000000"/>
          <w:sz w:val="22"/>
          <w:szCs w:val="22"/>
          <w:lang w:val="en-US"/>
        </w:rPr>
        <w:t xml:space="preserve"> group (NRS 3.8 (day 0) vs. 1.6 (day 7), p &lt; 0.001).</w:t>
      </w:r>
    </w:p>
    <w:p w14:paraId="47C756E2" w14:textId="006D62E1" w:rsidR="006E2E97" w:rsidRDefault="006E2E97" w:rsidP="006E2E97">
      <w:pPr>
        <w:pStyle w:val="Normaalweb"/>
        <w:spacing w:line="360" w:lineRule="auto"/>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Concerning a</w:t>
      </w:r>
      <w:r w:rsidRPr="006E2E97">
        <w:rPr>
          <w:rFonts w:asciiTheme="minorHAnsi" w:hAnsiTheme="minorHAnsi" w:cstheme="minorHAnsi"/>
          <w:color w:val="000000"/>
          <w:sz w:val="22"/>
          <w:szCs w:val="22"/>
          <w:lang w:val="en-US"/>
        </w:rPr>
        <w:t>chievement of an adequate pain</w:t>
      </w:r>
      <w:r w:rsidR="00F717DA">
        <w:rPr>
          <w:rFonts w:asciiTheme="minorHAnsi" w:hAnsiTheme="minorHAnsi" w:cstheme="minorHAnsi"/>
          <w:color w:val="000000"/>
          <w:sz w:val="22"/>
          <w:szCs w:val="22"/>
          <w:lang w:val="en-US"/>
        </w:rPr>
        <w:t xml:space="preserve"> </w:t>
      </w:r>
      <w:r w:rsidRPr="006E2E97">
        <w:rPr>
          <w:rFonts w:asciiTheme="minorHAnsi" w:hAnsiTheme="minorHAnsi" w:cstheme="minorHAnsi"/>
          <w:color w:val="000000"/>
          <w:sz w:val="22"/>
          <w:szCs w:val="22"/>
          <w:lang w:val="en-US"/>
        </w:rPr>
        <w:t>control (mean NRS ≤ 1)</w:t>
      </w:r>
      <w:r>
        <w:rPr>
          <w:rFonts w:asciiTheme="minorHAnsi" w:hAnsiTheme="minorHAnsi" w:cstheme="minorHAnsi"/>
          <w:color w:val="000000"/>
          <w:sz w:val="22"/>
          <w:szCs w:val="22"/>
          <w:lang w:val="en-US"/>
        </w:rPr>
        <w:t>, n</w:t>
      </w:r>
      <w:r w:rsidRPr="006E2E97">
        <w:rPr>
          <w:rFonts w:asciiTheme="minorHAnsi" w:hAnsiTheme="minorHAnsi" w:cstheme="minorHAnsi"/>
          <w:color w:val="000000"/>
          <w:sz w:val="22"/>
          <w:szCs w:val="22"/>
          <w:lang w:val="en-US"/>
        </w:rPr>
        <w:t>o significant differences between the treatment groups were detected (tramadol group day 4.2 (SD 2.8), oxycodon</w:t>
      </w:r>
      <w:r w:rsidR="00D0710C">
        <w:rPr>
          <w:rFonts w:asciiTheme="minorHAnsi" w:hAnsiTheme="minorHAnsi" w:cstheme="minorHAnsi"/>
          <w:color w:val="000000"/>
          <w:sz w:val="22"/>
          <w:szCs w:val="22"/>
          <w:lang w:val="en-US"/>
        </w:rPr>
        <w:t>e</w:t>
      </w:r>
      <w:r w:rsidRPr="006E2E97">
        <w:rPr>
          <w:rFonts w:asciiTheme="minorHAnsi" w:hAnsiTheme="minorHAnsi" w:cstheme="minorHAnsi"/>
          <w:color w:val="000000"/>
          <w:sz w:val="22"/>
          <w:szCs w:val="22"/>
          <w:lang w:val="en-US"/>
        </w:rPr>
        <w:t xml:space="preserve"> group day 3.7 (SD 3.0), p = 0.484).</w:t>
      </w:r>
    </w:p>
    <w:p w14:paraId="0C2CD862" w14:textId="44748827" w:rsidR="006E2E97" w:rsidRDefault="006E2E97" w:rsidP="006E2E97">
      <w:pPr>
        <w:pStyle w:val="Normaalweb"/>
        <w:spacing w:line="360" w:lineRule="auto"/>
        <w:rPr>
          <w:rFonts w:asciiTheme="minorHAnsi" w:hAnsiTheme="minorHAnsi" w:cstheme="minorHAnsi"/>
          <w:color w:val="000000"/>
          <w:sz w:val="22"/>
          <w:szCs w:val="22"/>
          <w:lang w:val="en-US"/>
        </w:rPr>
      </w:pPr>
      <w:r w:rsidRPr="006E2E97">
        <w:rPr>
          <w:rFonts w:asciiTheme="minorHAnsi" w:hAnsiTheme="minorHAnsi" w:cstheme="minorHAnsi"/>
          <w:color w:val="000000"/>
          <w:sz w:val="22"/>
          <w:szCs w:val="22"/>
          <w:lang w:val="en-US"/>
        </w:rPr>
        <w:t>No statistical</w:t>
      </w:r>
      <w:r w:rsidR="00D0710C">
        <w:rPr>
          <w:rFonts w:asciiTheme="minorHAnsi" w:hAnsiTheme="minorHAnsi" w:cstheme="minorHAnsi"/>
          <w:color w:val="000000"/>
          <w:sz w:val="22"/>
          <w:szCs w:val="22"/>
          <w:lang w:val="en-US"/>
        </w:rPr>
        <w:t>ly</w:t>
      </w:r>
      <w:r w:rsidRPr="006E2E97">
        <w:rPr>
          <w:rFonts w:asciiTheme="minorHAnsi" w:hAnsiTheme="minorHAnsi" w:cstheme="minorHAnsi"/>
          <w:color w:val="000000"/>
          <w:sz w:val="22"/>
          <w:szCs w:val="22"/>
          <w:lang w:val="en-US"/>
        </w:rPr>
        <w:t xml:space="preserve"> significant difference was found between the two treatment groups when investigating a decrease in mean NRS of at least two points with respect to the initial NRS value, seen as the highest mean NRS at day 0 or day 1 (tramadol group day 3.4 (SD 2.6), oxycodon</w:t>
      </w:r>
      <w:r w:rsidR="00D0710C">
        <w:rPr>
          <w:rFonts w:asciiTheme="minorHAnsi" w:hAnsiTheme="minorHAnsi" w:cstheme="minorHAnsi"/>
          <w:color w:val="000000"/>
          <w:sz w:val="22"/>
          <w:szCs w:val="22"/>
          <w:lang w:val="en-US"/>
        </w:rPr>
        <w:t>e</w:t>
      </w:r>
      <w:r w:rsidRPr="006E2E97">
        <w:rPr>
          <w:rFonts w:asciiTheme="minorHAnsi" w:hAnsiTheme="minorHAnsi" w:cstheme="minorHAnsi"/>
          <w:color w:val="000000"/>
          <w:sz w:val="22"/>
          <w:szCs w:val="22"/>
          <w:lang w:val="en-US"/>
        </w:rPr>
        <w:t xml:space="preserve"> group day 2.8 (SD 2.3), p = 0.408).</w:t>
      </w:r>
    </w:p>
    <w:p w14:paraId="34F4DF3B" w14:textId="39B1E061" w:rsidR="005D4690" w:rsidRDefault="005D4690" w:rsidP="005D4690">
      <w:pPr>
        <w:pStyle w:val="Normaalweb"/>
        <w:spacing w:line="360" w:lineRule="auto"/>
        <w:rPr>
          <w:rFonts w:asciiTheme="minorHAnsi" w:hAnsiTheme="minorHAnsi" w:cstheme="minorHAnsi"/>
          <w:color w:val="000000"/>
          <w:sz w:val="22"/>
          <w:szCs w:val="22"/>
          <w:lang w:val="en-US"/>
        </w:rPr>
      </w:pPr>
      <w:r w:rsidRPr="005D4690">
        <w:rPr>
          <w:rFonts w:asciiTheme="minorHAnsi" w:hAnsiTheme="minorHAnsi" w:cstheme="minorHAnsi"/>
          <w:color w:val="000000"/>
          <w:sz w:val="22"/>
          <w:szCs w:val="22"/>
          <w:lang w:val="en-US"/>
        </w:rPr>
        <w:t xml:space="preserve">An average of 4 rescue analgesics were given in the tramadol group during the seven </w:t>
      </w:r>
      <w:r w:rsidR="00D0710C">
        <w:rPr>
          <w:rFonts w:asciiTheme="minorHAnsi" w:hAnsiTheme="minorHAnsi" w:cstheme="minorHAnsi"/>
          <w:color w:val="000000"/>
          <w:sz w:val="22"/>
          <w:szCs w:val="22"/>
          <w:lang w:val="en-US"/>
        </w:rPr>
        <w:t>days follow-up ( range 0-13</w:t>
      </w:r>
      <w:r w:rsidRPr="005D4690">
        <w:rPr>
          <w:rFonts w:asciiTheme="minorHAnsi" w:hAnsiTheme="minorHAnsi" w:cstheme="minorHAnsi"/>
          <w:color w:val="000000"/>
          <w:sz w:val="22"/>
          <w:szCs w:val="22"/>
          <w:lang w:val="en-US"/>
        </w:rPr>
        <w:t>)</w:t>
      </w:r>
      <w:r w:rsidR="008E0C52">
        <w:rPr>
          <w:rFonts w:asciiTheme="minorHAnsi" w:hAnsiTheme="minorHAnsi" w:cstheme="minorHAnsi"/>
          <w:color w:val="000000"/>
          <w:sz w:val="22"/>
          <w:szCs w:val="22"/>
          <w:lang w:val="en-US"/>
        </w:rPr>
        <w:t>,</w:t>
      </w:r>
      <w:r w:rsidRPr="005D4690">
        <w:rPr>
          <w:rFonts w:asciiTheme="minorHAnsi" w:hAnsiTheme="minorHAnsi" w:cstheme="minorHAnsi"/>
          <w:color w:val="000000"/>
          <w:sz w:val="22"/>
          <w:szCs w:val="22"/>
          <w:lang w:val="en-US"/>
        </w:rPr>
        <w:t xml:space="preserve"> </w:t>
      </w:r>
      <w:r w:rsidR="008E0C52">
        <w:rPr>
          <w:rFonts w:asciiTheme="minorHAnsi" w:hAnsiTheme="minorHAnsi" w:cstheme="minorHAnsi"/>
          <w:color w:val="000000"/>
          <w:sz w:val="22"/>
          <w:szCs w:val="22"/>
          <w:lang w:val="en-US"/>
        </w:rPr>
        <w:t xml:space="preserve">versus an average of </w:t>
      </w:r>
      <w:r w:rsidRPr="005D4690">
        <w:rPr>
          <w:rFonts w:asciiTheme="minorHAnsi" w:hAnsiTheme="minorHAnsi" w:cstheme="minorHAnsi"/>
          <w:color w:val="000000"/>
          <w:sz w:val="22"/>
          <w:szCs w:val="22"/>
          <w:lang w:val="en-US"/>
        </w:rPr>
        <w:t xml:space="preserve">3.5 </w:t>
      </w:r>
      <w:r w:rsidR="008E0C52">
        <w:rPr>
          <w:rFonts w:asciiTheme="minorHAnsi" w:hAnsiTheme="minorHAnsi" w:cstheme="minorHAnsi"/>
          <w:color w:val="000000"/>
          <w:sz w:val="22"/>
          <w:szCs w:val="22"/>
          <w:lang w:val="en-US"/>
        </w:rPr>
        <w:t xml:space="preserve">in the oxycodone group </w:t>
      </w:r>
      <w:r w:rsidR="00D0710C">
        <w:rPr>
          <w:rFonts w:asciiTheme="minorHAnsi" w:hAnsiTheme="minorHAnsi" w:cstheme="minorHAnsi"/>
          <w:color w:val="000000"/>
          <w:sz w:val="22"/>
          <w:szCs w:val="22"/>
          <w:lang w:val="en-US"/>
        </w:rPr>
        <w:t>(range 0-14</w:t>
      </w:r>
      <w:r w:rsidRPr="005D4690">
        <w:rPr>
          <w:rFonts w:asciiTheme="minorHAnsi" w:hAnsiTheme="minorHAnsi" w:cstheme="minorHAnsi"/>
          <w:color w:val="000000"/>
          <w:sz w:val="22"/>
          <w:szCs w:val="22"/>
          <w:lang w:val="en-US"/>
        </w:rPr>
        <w:t>).</w:t>
      </w:r>
      <w:r w:rsidR="00233C45">
        <w:rPr>
          <w:rFonts w:asciiTheme="minorHAnsi" w:hAnsiTheme="minorHAnsi" w:cstheme="minorHAnsi"/>
          <w:color w:val="000000"/>
          <w:sz w:val="22"/>
          <w:szCs w:val="22"/>
          <w:lang w:val="en-US"/>
        </w:rPr>
        <w:t xml:space="preserve"> </w:t>
      </w:r>
      <w:r w:rsidRPr="005D4690">
        <w:rPr>
          <w:rFonts w:asciiTheme="minorHAnsi" w:hAnsiTheme="minorHAnsi" w:cstheme="minorHAnsi"/>
          <w:color w:val="000000"/>
          <w:sz w:val="22"/>
          <w:szCs w:val="22"/>
          <w:lang w:val="en-US"/>
        </w:rPr>
        <w:t>The average daily use of rescue medication (all p</w:t>
      </w:r>
      <w:r>
        <w:rPr>
          <w:rFonts w:asciiTheme="minorHAnsi" w:hAnsiTheme="minorHAnsi" w:cstheme="minorHAnsi"/>
          <w:color w:val="000000"/>
          <w:sz w:val="22"/>
          <w:szCs w:val="22"/>
          <w:lang w:val="en-US"/>
        </w:rPr>
        <w:t>atients included) was 0.49</w:t>
      </w:r>
      <w:r w:rsidRPr="005D4690">
        <w:rPr>
          <w:rFonts w:asciiTheme="minorHAnsi" w:hAnsiTheme="minorHAnsi" w:cstheme="minorHAnsi"/>
          <w:color w:val="000000"/>
          <w:sz w:val="22"/>
          <w:szCs w:val="22"/>
          <w:lang w:val="en-US"/>
        </w:rPr>
        <w:t xml:space="preserve"> </w:t>
      </w:r>
      <w:r w:rsidR="008E0C52">
        <w:rPr>
          <w:rFonts w:asciiTheme="minorHAnsi" w:hAnsiTheme="minorHAnsi" w:cstheme="minorHAnsi"/>
          <w:color w:val="000000"/>
          <w:sz w:val="22"/>
          <w:szCs w:val="22"/>
          <w:lang w:val="en-US"/>
        </w:rPr>
        <w:t>(</w:t>
      </w:r>
      <w:r>
        <w:rPr>
          <w:rFonts w:asciiTheme="minorHAnsi" w:hAnsiTheme="minorHAnsi" w:cstheme="minorHAnsi"/>
          <w:color w:val="000000"/>
          <w:sz w:val="22"/>
          <w:szCs w:val="22"/>
          <w:lang w:val="en-US"/>
        </w:rPr>
        <w:t xml:space="preserve">0.52 </w:t>
      </w:r>
      <w:r w:rsidR="008E0C52">
        <w:rPr>
          <w:rFonts w:asciiTheme="minorHAnsi" w:hAnsiTheme="minorHAnsi" w:cstheme="minorHAnsi"/>
          <w:color w:val="000000"/>
          <w:sz w:val="22"/>
          <w:szCs w:val="22"/>
          <w:lang w:val="en-US"/>
        </w:rPr>
        <w:t>in the tramadol group</w:t>
      </w:r>
      <w:r w:rsidRPr="005D4690">
        <w:rPr>
          <w:rFonts w:asciiTheme="minorHAnsi" w:hAnsiTheme="minorHAnsi" w:cstheme="minorHAnsi"/>
          <w:color w:val="000000"/>
          <w:sz w:val="22"/>
          <w:szCs w:val="22"/>
          <w:lang w:val="en-US"/>
        </w:rPr>
        <w:t xml:space="preserve">, </w:t>
      </w:r>
      <w:r>
        <w:rPr>
          <w:rFonts w:asciiTheme="minorHAnsi" w:hAnsiTheme="minorHAnsi" w:cstheme="minorHAnsi"/>
          <w:color w:val="000000"/>
          <w:sz w:val="22"/>
          <w:szCs w:val="22"/>
          <w:lang w:val="en-US"/>
        </w:rPr>
        <w:t xml:space="preserve">compared to 0.52 </w:t>
      </w:r>
      <w:r w:rsidR="008E0C52">
        <w:rPr>
          <w:rFonts w:asciiTheme="minorHAnsi" w:hAnsiTheme="minorHAnsi" w:cstheme="minorHAnsi"/>
          <w:color w:val="000000"/>
          <w:sz w:val="22"/>
          <w:szCs w:val="22"/>
          <w:lang w:val="en-US"/>
        </w:rPr>
        <w:t xml:space="preserve">in the oxycodone group </w:t>
      </w:r>
      <w:r w:rsidRPr="005D4690">
        <w:rPr>
          <w:rFonts w:asciiTheme="minorHAnsi" w:hAnsiTheme="minorHAnsi" w:cstheme="minorHAnsi"/>
          <w:color w:val="000000"/>
          <w:sz w:val="22"/>
          <w:szCs w:val="22"/>
          <w:lang w:val="en-US"/>
        </w:rPr>
        <w:t>(p = 0.58)</w:t>
      </w:r>
      <w:r w:rsidR="008E0C52">
        <w:rPr>
          <w:rFonts w:asciiTheme="minorHAnsi" w:hAnsiTheme="minorHAnsi" w:cstheme="minorHAnsi"/>
          <w:color w:val="000000"/>
          <w:sz w:val="22"/>
          <w:szCs w:val="22"/>
          <w:lang w:val="en-US"/>
        </w:rPr>
        <w:t>)</w:t>
      </w:r>
      <w:r w:rsidRPr="005D4690">
        <w:rPr>
          <w:rFonts w:asciiTheme="minorHAnsi" w:hAnsiTheme="minorHAnsi" w:cstheme="minorHAnsi"/>
          <w:color w:val="000000"/>
          <w:sz w:val="22"/>
          <w:szCs w:val="22"/>
          <w:lang w:val="en-US"/>
        </w:rPr>
        <w:t>.</w:t>
      </w:r>
    </w:p>
    <w:p w14:paraId="045E25ED" w14:textId="62C70529" w:rsidR="00D41CD3" w:rsidRDefault="00D41CD3" w:rsidP="00D41CD3">
      <w:pPr>
        <w:pStyle w:val="Normaalweb"/>
        <w:spacing w:line="360" w:lineRule="auto"/>
        <w:rPr>
          <w:rFonts w:asciiTheme="minorHAnsi" w:hAnsiTheme="minorHAnsi" w:cstheme="minorHAnsi"/>
          <w:color w:val="000000"/>
          <w:sz w:val="22"/>
          <w:szCs w:val="22"/>
          <w:lang w:val="en-US"/>
        </w:rPr>
      </w:pPr>
      <w:r w:rsidRPr="00D41CD3">
        <w:rPr>
          <w:rFonts w:asciiTheme="minorHAnsi" w:hAnsiTheme="minorHAnsi" w:cstheme="minorHAnsi"/>
          <w:color w:val="000000"/>
          <w:sz w:val="22"/>
          <w:szCs w:val="22"/>
          <w:lang w:val="en-US"/>
        </w:rPr>
        <w:t xml:space="preserve">The </w:t>
      </w:r>
      <w:r>
        <w:rPr>
          <w:rFonts w:asciiTheme="minorHAnsi" w:hAnsiTheme="minorHAnsi" w:cstheme="minorHAnsi"/>
          <w:color w:val="000000"/>
          <w:sz w:val="22"/>
          <w:szCs w:val="22"/>
          <w:lang w:val="en-US"/>
        </w:rPr>
        <w:t xml:space="preserve">average </w:t>
      </w:r>
      <w:r w:rsidRPr="00D41CD3">
        <w:rPr>
          <w:rFonts w:asciiTheme="minorHAnsi" w:hAnsiTheme="minorHAnsi" w:cstheme="minorHAnsi"/>
          <w:color w:val="000000"/>
          <w:sz w:val="22"/>
          <w:szCs w:val="22"/>
          <w:lang w:val="en-US"/>
        </w:rPr>
        <w:t xml:space="preserve">timing of the last acute pain flare-up, seen as a one-time NRS value of ≥ 5, did not </w:t>
      </w:r>
      <w:r w:rsidR="006A7AEA">
        <w:rPr>
          <w:rFonts w:asciiTheme="minorHAnsi" w:hAnsiTheme="minorHAnsi" w:cstheme="minorHAnsi"/>
          <w:color w:val="000000"/>
          <w:sz w:val="22"/>
          <w:szCs w:val="22"/>
          <w:lang w:val="en-US"/>
        </w:rPr>
        <w:t>differ significantly between both</w:t>
      </w:r>
      <w:r w:rsidRPr="00D41CD3">
        <w:rPr>
          <w:rFonts w:asciiTheme="minorHAnsi" w:hAnsiTheme="minorHAnsi" w:cstheme="minorHAnsi"/>
          <w:color w:val="000000"/>
          <w:sz w:val="22"/>
          <w:szCs w:val="22"/>
          <w:lang w:val="en-US"/>
        </w:rPr>
        <w:t xml:space="preserve"> treatment groups (tramadol group day 3.3 (SD 3.1), oxycodon</w:t>
      </w:r>
      <w:r w:rsidR="006A7AEA">
        <w:rPr>
          <w:rFonts w:asciiTheme="minorHAnsi" w:hAnsiTheme="minorHAnsi" w:cstheme="minorHAnsi"/>
          <w:color w:val="000000"/>
          <w:sz w:val="22"/>
          <w:szCs w:val="22"/>
          <w:lang w:val="en-US"/>
        </w:rPr>
        <w:t>e</w:t>
      </w:r>
      <w:r w:rsidRPr="00D41CD3">
        <w:rPr>
          <w:rFonts w:asciiTheme="minorHAnsi" w:hAnsiTheme="minorHAnsi" w:cstheme="minorHAnsi"/>
          <w:color w:val="000000"/>
          <w:sz w:val="22"/>
          <w:szCs w:val="22"/>
          <w:lang w:val="en-US"/>
        </w:rPr>
        <w:t xml:space="preserve"> group day 4.1 (SD 3.2), p= 0.309).</w:t>
      </w:r>
    </w:p>
    <w:p w14:paraId="0A022994" w14:textId="07587F20" w:rsidR="00D41CD3" w:rsidRDefault="00D41CD3" w:rsidP="00D41CD3">
      <w:pPr>
        <w:pStyle w:val="Normaalweb"/>
        <w:spacing w:line="360" w:lineRule="auto"/>
        <w:rPr>
          <w:rFonts w:asciiTheme="minorHAnsi" w:hAnsiTheme="minorHAnsi" w:cstheme="minorHAnsi"/>
          <w:color w:val="000000"/>
          <w:sz w:val="22"/>
          <w:szCs w:val="22"/>
          <w:lang w:val="en-US"/>
        </w:rPr>
      </w:pPr>
      <w:r w:rsidRPr="00D41CD3">
        <w:rPr>
          <w:rFonts w:asciiTheme="minorHAnsi" w:hAnsiTheme="minorHAnsi" w:cstheme="minorHAnsi"/>
          <w:color w:val="000000"/>
          <w:sz w:val="22"/>
          <w:szCs w:val="22"/>
          <w:lang w:val="en-US"/>
        </w:rPr>
        <w:t xml:space="preserve">A difference in preservation of functionality </w:t>
      </w:r>
      <w:r>
        <w:rPr>
          <w:rFonts w:asciiTheme="minorHAnsi" w:hAnsiTheme="minorHAnsi" w:cstheme="minorHAnsi"/>
          <w:color w:val="000000"/>
          <w:sz w:val="22"/>
          <w:szCs w:val="22"/>
          <w:lang w:val="en-US"/>
        </w:rPr>
        <w:t xml:space="preserve">between day 0 and day 7 </w:t>
      </w:r>
      <w:r w:rsidRPr="00D41CD3">
        <w:rPr>
          <w:rFonts w:asciiTheme="minorHAnsi" w:hAnsiTheme="minorHAnsi" w:cstheme="minorHAnsi"/>
          <w:color w:val="000000"/>
          <w:sz w:val="22"/>
          <w:szCs w:val="22"/>
          <w:lang w:val="en-US"/>
        </w:rPr>
        <w:t xml:space="preserve">was investigated, measured by the Katz scale. There were </w:t>
      </w:r>
      <w:r>
        <w:rPr>
          <w:rFonts w:asciiTheme="minorHAnsi" w:hAnsiTheme="minorHAnsi" w:cstheme="minorHAnsi"/>
          <w:color w:val="000000"/>
          <w:sz w:val="22"/>
          <w:szCs w:val="22"/>
          <w:lang w:val="en-US"/>
        </w:rPr>
        <w:t>insufficient data in 9 patients</w:t>
      </w:r>
      <w:r w:rsidRPr="00D41CD3">
        <w:rPr>
          <w:rFonts w:asciiTheme="minorHAnsi" w:hAnsiTheme="minorHAnsi" w:cstheme="minorHAnsi"/>
          <w:color w:val="000000"/>
          <w:sz w:val="22"/>
          <w:szCs w:val="22"/>
          <w:lang w:val="en-US"/>
        </w:rPr>
        <w:t xml:space="preserve">. </w:t>
      </w:r>
      <w:r>
        <w:rPr>
          <w:rFonts w:asciiTheme="minorHAnsi" w:hAnsiTheme="minorHAnsi" w:cstheme="minorHAnsi"/>
          <w:color w:val="000000"/>
          <w:sz w:val="22"/>
          <w:szCs w:val="22"/>
          <w:lang w:val="en-US"/>
        </w:rPr>
        <w:t>F</w:t>
      </w:r>
      <w:r w:rsidRPr="00D41CD3">
        <w:rPr>
          <w:rFonts w:asciiTheme="minorHAnsi" w:hAnsiTheme="minorHAnsi" w:cstheme="minorHAnsi"/>
          <w:color w:val="000000"/>
          <w:sz w:val="22"/>
          <w:szCs w:val="22"/>
          <w:lang w:val="en-US"/>
        </w:rPr>
        <w:t>unctionality was preserved in 12 of the 20 patients treated in the tramadol group (60%) and in 15 of the 20 patien</w:t>
      </w:r>
      <w:r>
        <w:rPr>
          <w:rFonts w:asciiTheme="minorHAnsi" w:hAnsiTheme="minorHAnsi" w:cstheme="minorHAnsi"/>
          <w:color w:val="000000"/>
          <w:sz w:val="22"/>
          <w:szCs w:val="22"/>
          <w:lang w:val="en-US"/>
        </w:rPr>
        <w:t>ts in the oxycodon</w:t>
      </w:r>
      <w:r w:rsidR="006A7AEA">
        <w:rPr>
          <w:rFonts w:asciiTheme="minorHAnsi" w:hAnsiTheme="minorHAnsi" w:cstheme="minorHAnsi"/>
          <w:color w:val="000000"/>
          <w:sz w:val="22"/>
          <w:szCs w:val="22"/>
          <w:lang w:val="en-US"/>
        </w:rPr>
        <w:t>e</w:t>
      </w:r>
      <w:r>
        <w:rPr>
          <w:rFonts w:asciiTheme="minorHAnsi" w:hAnsiTheme="minorHAnsi" w:cstheme="minorHAnsi"/>
          <w:color w:val="000000"/>
          <w:sz w:val="22"/>
          <w:szCs w:val="22"/>
          <w:lang w:val="en-US"/>
        </w:rPr>
        <w:t xml:space="preserve"> group (75%) </w:t>
      </w:r>
      <w:r w:rsidRPr="00D41CD3">
        <w:rPr>
          <w:rFonts w:asciiTheme="minorHAnsi" w:hAnsiTheme="minorHAnsi" w:cstheme="minorHAnsi"/>
          <w:color w:val="000000"/>
          <w:sz w:val="22"/>
          <w:szCs w:val="22"/>
          <w:lang w:val="en-US"/>
        </w:rPr>
        <w:t>(p = 0.058).</w:t>
      </w:r>
    </w:p>
    <w:p w14:paraId="68E45488" w14:textId="77777777" w:rsidR="00076BE3" w:rsidRDefault="00BA26F9" w:rsidP="00300581">
      <w:pPr>
        <w:pStyle w:val="Normaalweb"/>
        <w:spacing w:line="360" w:lineRule="auto"/>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Prevalence of side effects is listed in Table 2.</w:t>
      </w:r>
      <w:r w:rsidR="00076BE3">
        <w:rPr>
          <w:rFonts w:asciiTheme="minorHAnsi" w:hAnsiTheme="minorHAnsi" w:cstheme="minorHAnsi"/>
          <w:color w:val="000000"/>
          <w:sz w:val="22"/>
          <w:szCs w:val="22"/>
          <w:lang w:val="en-US"/>
        </w:rPr>
        <w:t xml:space="preserve"> </w:t>
      </w:r>
    </w:p>
    <w:p w14:paraId="14DE92EC" w14:textId="11F378F8" w:rsidR="00F93242" w:rsidRPr="00076BE3" w:rsidRDefault="00300581" w:rsidP="00076BE3">
      <w:pPr>
        <w:pStyle w:val="Normaalweb"/>
        <w:spacing w:line="360" w:lineRule="auto"/>
        <w:rPr>
          <w:rFonts w:asciiTheme="minorHAnsi" w:hAnsiTheme="minorHAnsi" w:cstheme="minorHAnsi"/>
          <w:i/>
          <w:color w:val="000000"/>
          <w:sz w:val="22"/>
          <w:szCs w:val="22"/>
          <w:lang w:val="en-US"/>
        </w:rPr>
      </w:pPr>
      <w:r w:rsidRPr="00F717DA">
        <w:rPr>
          <w:rFonts w:asciiTheme="minorHAnsi" w:hAnsiTheme="minorHAnsi" w:cstheme="minorHAnsi"/>
          <w:color w:val="000000"/>
          <w:sz w:val="22"/>
          <w:szCs w:val="22"/>
          <w:lang w:val="en-US"/>
        </w:rPr>
        <w:t>A total of eleven patients did not complete the study (7 in the tramadol group, 4 in the oxycodon</w:t>
      </w:r>
      <w:r w:rsidR="00D0710C">
        <w:rPr>
          <w:rFonts w:asciiTheme="minorHAnsi" w:hAnsiTheme="minorHAnsi" w:cstheme="minorHAnsi"/>
          <w:color w:val="000000"/>
          <w:sz w:val="22"/>
          <w:szCs w:val="22"/>
          <w:lang w:val="en-US"/>
        </w:rPr>
        <w:t>e</w:t>
      </w:r>
      <w:r w:rsidRPr="00F717DA">
        <w:rPr>
          <w:rFonts w:asciiTheme="minorHAnsi" w:hAnsiTheme="minorHAnsi" w:cstheme="minorHAnsi"/>
          <w:color w:val="000000"/>
          <w:sz w:val="22"/>
          <w:szCs w:val="22"/>
          <w:lang w:val="en-US"/>
        </w:rPr>
        <w:t xml:space="preserve"> group). The reasons fo</w:t>
      </w:r>
      <w:r w:rsidR="005C03C2">
        <w:rPr>
          <w:rFonts w:asciiTheme="minorHAnsi" w:hAnsiTheme="minorHAnsi" w:cstheme="minorHAnsi"/>
          <w:color w:val="000000"/>
          <w:sz w:val="22"/>
          <w:szCs w:val="22"/>
          <w:lang w:val="en-US"/>
        </w:rPr>
        <w:t>r early termination and timing a</w:t>
      </w:r>
      <w:r w:rsidRPr="00F717DA">
        <w:rPr>
          <w:rFonts w:asciiTheme="minorHAnsi" w:hAnsiTheme="minorHAnsi" w:cstheme="minorHAnsi"/>
          <w:color w:val="000000"/>
          <w:sz w:val="22"/>
          <w:szCs w:val="22"/>
          <w:lang w:val="en-US"/>
        </w:rPr>
        <w:t xml:space="preserve">re listed in Figure 1. </w:t>
      </w:r>
    </w:p>
    <w:p w14:paraId="50684877" w14:textId="7AD0DA62" w:rsidR="003F69C9" w:rsidRDefault="00F717DA" w:rsidP="00076BE3">
      <w:pPr>
        <w:pStyle w:val="Normaalweb"/>
        <w:spacing w:line="360" w:lineRule="auto"/>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lastRenderedPageBreak/>
        <w:t>T</w:t>
      </w:r>
      <w:r w:rsidR="00365072" w:rsidRPr="00F717DA">
        <w:rPr>
          <w:rFonts w:asciiTheme="minorHAnsi" w:hAnsiTheme="minorHAnsi" w:cstheme="minorHAnsi"/>
          <w:color w:val="000000"/>
          <w:sz w:val="22"/>
          <w:szCs w:val="22"/>
          <w:lang w:val="en-US"/>
        </w:rPr>
        <w:t xml:space="preserve">hree serious adverse events (SAE) were registered during the study period, all three patients concerned were treated with tramadol. One patient developed an acute pulmonary edema at day 2 of the follow-up. This patient had a history of diastolic and </w:t>
      </w:r>
      <w:proofErr w:type="spellStart"/>
      <w:r w:rsidR="00365072" w:rsidRPr="00F717DA">
        <w:rPr>
          <w:rFonts w:asciiTheme="minorHAnsi" w:hAnsiTheme="minorHAnsi" w:cstheme="minorHAnsi"/>
          <w:color w:val="000000"/>
          <w:sz w:val="22"/>
          <w:szCs w:val="22"/>
          <w:lang w:val="en-US"/>
        </w:rPr>
        <w:t>multivalvular</w:t>
      </w:r>
      <w:proofErr w:type="spellEnd"/>
      <w:r w:rsidR="00365072" w:rsidRPr="00F717DA">
        <w:rPr>
          <w:rFonts w:asciiTheme="minorHAnsi" w:hAnsiTheme="minorHAnsi" w:cstheme="minorHAnsi"/>
          <w:color w:val="000000"/>
          <w:sz w:val="22"/>
          <w:szCs w:val="22"/>
          <w:lang w:val="en-US"/>
        </w:rPr>
        <w:t xml:space="preserve"> heart failure. The second patient developed convulsions of the upper limbs at day 2 of the follow-up. A CT-scan of the brain excluded an acute ischemic event and bleeding. The treatment with tramadol was interrupted immediately and 24 hours later the convulsions stopped.</w:t>
      </w:r>
      <w:r>
        <w:rPr>
          <w:rFonts w:asciiTheme="minorHAnsi" w:hAnsiTheme="minorHAnsi" w:cstheme="minorHAnsi"/>
          <w:color w:val="000000"/>
          <w:sz w:val="22"/>
          <w:szCs w:val="22"/>
          <w:lang w:val="en-US"/>
        </w:rPr>
        <w:t xml:space="preserve"> </w:t>
      </w:r>
      <w:r w:rsidR="00365072" w:rsidRPr="00F717DA">
        <w:rPr>
          <w:rFonts w:asciiTheme="minorHAnsi" w:hAnsiTheme="minorHAnsi" w:cstheme="minorHAnsi"/>
          <w:color w:val="000000"/>
          <w:sz w:val="22"/>
          <w:szCs w:val="22"/>
          <w:lang w:val="en-US"/>
        </w:rPr>
        <w:t xml:space="preserve">Acute delirium was also registered as a SAE in one patient. </w:t>
      </w:r>
    </w:p>
    <w:p w14:paraId="081DE83D" w14:textId="77777777" w:rsidR="006A7AEA" w:rsidRPr="00076BE3" w:rsidRDefault="006A7AEA" w:rsidP="00076BE3">
      <w:pPr>
        <w:pStyle w:val="Normaalweb"/>
        <w:spacing w:line="360" w:lineRule="auto"/>
        <w:rPr>
          <w:lang w:val="en-US"/>
        </w:rPr>
      </w:pPr>
    </w:p>
    <w:p w14:paraId="206E2746" w14:textId="03D5BF12" w:rsidR="001B2345" w:rsidRPr="008D128A" w:rsidRDefault="001B2345">
      <w:pPr>
        <w:rPr>
          <w:b/>
          <w:lang w:val="en-US"/>
        </w:rPr>
      </w:pPr>
      <w:r w:rsidRPr="008D128A">
        <w:rPr>
          <w:b/>
          <w:lang w:val="en-US"/>
        </w:rPr>
        <w:t>Discussion</w:t>
      </w:r>
      <w:r w:rsidR="00931C6E" w:rsidRPr="008D128A">
        <w:rPr>
          <w:b/>
          <w:lang w:val="en-US"/>
        </w:rPr>
        <w:t xml:space="preserve">    </w:t>
      </w:r>
    </w:p>
    <w:p w14:paraId="0C5D1F4D" w14:textId="12831DB0" w:rsidR="00044FCC" w:rsidRDefault="00EB75FA" w:rsidP="00EB75FA">
      <w:pPr>
        <w:spacing w:line="360" w:lineRule="auto"/>
        <w:rPr>
          <w:lang w:val="en-US"/>
        </w:rPr>
      </w:pPr>
      <w:r w:rsidRPr="00EB75FA">
        <w:rPr>
          <w:lang w:val="en-US"/>
        </w:rPr>
        <w:t xml:space="preserve">In </w:t>
      </w:r>
      <w:r w:rsidR="004840A9">
        <w:rPr>
          <w:lang w:val="en-US"/>
        </w:rPr>
        <w:t>this preliminary study w</w:t>
      </w:r>
      <w:r w:rsidRPr="00EB75FA">
        <w:rPr>
          <w:lang w:val="en-US"/>
        </w:rPr>
        <w:t>e co</w:t>
      </w:r>
      <w:r w:rsidR="003F69C9">
        <w:rPr>
          <w:lang w:val="en-US"/>
        </w:rPr>
        <w:t>mpared the effectiveness and</w:t>
      </w:r>
      <w:r w:rsidRPr="00EB75FA">
        <w:rPr>
          <w:lang w:val="en-US"/>
        </w:rPr>
        <w:t xml:space="preserve"> safety of weak and strong opioids in the treatment of </w:t>
      </w:r>
      <w:r>
        <w:rPr>
          <w:lang w:val="en-US"/>
        </w:rPr>
        <w:t xml:space="preserve">acute </w:t>
      </w:r>
      <w:r w:rsidR="00EA23B2">
        <w:rPr>
          <w:lang w:val="en-US"/>
        </w:rPr>
        <w:t xml:space="preserve">moderate to severe </w:t>
      </w:r>
      <w:r>
        <w:rPr>
          <w:lang w:val="en-US"/>
        </w:rPr>
        <w:t xml:space="preserve">locomotor pain in the elderly. </w:t>
      </w:r>
    </w:p>
    <w:p w14:paraId="7E30821B" w14:textId="757867E4" w:rsidR="0094795C" w:rsidRDefault="00EB75FA" w:rsidP="0094795C">
      <w:pPr>
        <w:autoSpaceDE w:val="0"/>
        <w:autoSpaceDN w:val="0"/>
        <w:adjustRightInd w:val="0"/>
        <w:spacing w:after="0" w:line="360" w:lineRule="auto"/>
        <w:rPr>
          <w:rFonts w:cstheme="minorHAnsi"/>
          <w:lang w:val="en-US"/>
        </w:rPr>
      </w:pPr>
      <w:r w:rsidRPr="00AD36DF">
        <w:rPr>
          <w:rFonts w:cstheme="minorHAnsi"/>
          <w:lang w:val="en-US"/>
        </w:rPr>
        <w:t xml:space="preserve">Both </w:t>
      </w:r>
      <w:r w:rsidR="00044FCC" w:rsidRPr="00AD36DF">
        <w:rPr>
          <w:rFonts w:cstheme="minorHAnsi"/>
          <w:lang w:val="en-US"/>
        </w:rPr>
        <w:t>opioids seem to</w:t>
      </w:r>
      <w:r w:rsidRPr="00AD36DF">
        <w:rPr>
          <w:rFonts w:cstheme="minorHAnsi"/>
          <w:lang w:val="en-US"/>
        </w:rPr>
        <w:t xml:space="preserve"> have similar effects on pain in this cohort. </w:t>
      </w:r>
      <w:r w:rsidR="00044FCC" w:rsidRPr="00AD36DF">
        <w:rPr>
          <w:rFonts w:cstheme="minorHAnsi"/>
          <w:lang w:val="en-US"/>
        </w:rPr>
        <w:t>More specifically, no difference was noted in</w:t>
      </w:r>
      <w:r w:rsidR="00AD36DF" w:rsidRPr="00AD36DF">
        <w:rPr>
          <w:rFonts w:cstheme="minorHAnsi"/>
          <w:lang w:val="en-US"/>
        </w:rPr>
        <w:t xml:space="preserve"> speed of analgesic effect, </w:t>
      </w:r>
      <w:r w:rsidR="00044FCC" w:rsidRPr="00AD36DF">
        <w:rPr>
          <w:rFonts w:cstheme="minorHAnsi"/>
          <w:lang w:val="en-US"/>
        </w:rPr>
        <w:t>speed of a</w:t>
      </w:r>
      <w:r w:rsidR="00AD36DF" w:rsidRPr="00AD36DF">
        <w:rPr>
          <w:rFonts w:cstheme="minorHAnsi"/>
          <w:lang w:val="en-US"/>
        </w:rPr>
        <w:t>chieving complete pain control or need for additional analgesics for breakthrough pain</w:t>
      </w:r>
      <w:r w:rsidR="00AD36DF">
        <w:rPr>
          <w:rFonts w:cstheme="minorHAnsi"/>
          <w:lang w:val="en-US"/>
        </w:rPr>
        <w:t>. This is in concordance with earlier study results, where, admittedly in a not exclusively geriatric population, no significant difference was found between weak (tramadol) and strong (buprenorphine) opioids (</w:t>
      </w:r>
      <w:r w:rsidR="002D4835">
        <w:rPr>
          <w:rFonts w:cstheme="minorHAnsi"/>
          <w:lang w:val="en-US"/>
        </w:rPr>
        <w:t>1</w:t>
      </w:r>
      <w:r w:rsidR="00AD36DF">
        <w:rPr>
          <w:rFonts w:cstheme="minorHAnsi"/>
          <w:lang w:val="en-US"/>
        </w:rPr>
        <w:t>3).</w:t>
      </w:r>
    </w:p>
    <w:p w14:paraId="32FB094F" w14:textId="16BE2197" w:rsidR="0094795C" w:rsidRPr="00FF3C49" w:rsidRDefault="00FF3C49" w:rsidP="00FF3C49">
      <w:pPr>
        <w:spacing w:line="360" w:lineRule="auto"/>
        <w:rPr>
          <w:lang w:val="en-US"/>
        </w:rPr>
      </w:pPr>
      <w:r>
        <w:rPr>
          <w:lang w:val="en-US"/>
        </w:rPr>
        <w:t>Functionality seemed to be better preserved in patients treated with oxycodone (not statistically significant).</w:t>
      </w:r>
    </w:p>
    <w:p w14:paraId="2E440906" w14:textId="3BDA92EF" w:rsidR="00EB75FA" w:rsidRPr="004C4E0C" w:rsidRDefault="00EB75FA" w:rsidP="00EB75FA">
      <w:pPr>
        <w:spacing w:line="360" w:lineRule="auto"/>
        <w:rPr>
          <w:lang w:val="en-US"/>
        </w:rPr>
      </w:pPr>
      <w:r>
        <w:rPr>
          <w:lang w:val="en-US"/>
        </w:rPr>
        <w:t xml:space="preserve">Concerning side effects, </w:t>
      </w:r>
      <w:r w:rsidR="003C5EC1">
        <w:rPr>
          <w:lang w:val="en-US"/>
        </w:rPr>
        <w:t>nausea was significantly more p</w:t>
      </w:r>
      <w:r>
        <w:rPr>
          <w:lang w:val="en-US"/>
        </w:rPr>
        <w:t xml:space="preserve">revalent in patients treated with weak opioids. </w:t>
      </w:r>
      <w:r w:rsidR="0094795C">
        <w:rPr>
          <w:lang w:val="en-US"/>
        </w:rPr>
        <w:t>No difference between both groups concerning the occurrence of constipation, the mo</w:t>
      </w:r>
      <w:r w:rsidR="00FF3C49">
        <w:rPr>
          <w:lang w:val="en-US"/>
        </w:rPr>
        <w:t>st common side effect, was not</w:t>
      </w:r>
      <w:r w:rsidR="0094795C">
        <w:rPr>
          <w:lang w:val="en-US"/>
        </w:rPr>
        <w:t xml:space="preserve">ed. </w:t>
      </w:r>
      <w:r w:rsidR="000918D8">
        <w:rPr>
          <w:lang w:val="en-US"/>
        </w:rPr>
        <w:t>Those findings are in concordance wi</w:t>
      </w:r>
      <w:r w:rsidR="00EB1286">
        <w:rPr>
          <w:lang w:val="en-US"/>
        </w:rPr>
        <w:t>th other studies (</w:t>
      </w:r>
      <w:r w:rsidR="002D4835">
        <w:rPr>
          <w:lang w:val="en-US"/>
        </w:rPr>
        <w:t>14, 15</w:t>
      </w:r>
      <w:r w:rsidR="000918D8">
        <w:rPr>
          <w:lang w:val="en-US"/>
        </w:rPr>
        <w:t xml:space="preserve">). </w:t>
      </w:r>
      <w:r>
        <w:rPr>
          <w:lang w:val="en-US"/>
        </w:rPr>
        <w:t xml:space="preserve">Other side effects, such as delirium </w:t>
      </w:r>
      <w:r w:rsidR="002959DB">
        <w:rPr>
          <w:lang w:val="en-US"/>
        </w:rPr>
        <w:t>and fall accidents, were more f</w:t>
      </w:r>
      <w:r w:rsidR="000918D8">
        <w:rPr>
          <w:lang w:val="en-US"/>
        </w:rPr>
        <w:t xml:space="preserve">requent in the tramadol </w:t>
      </w:r>
      <w:r>
        <w:rPr>
          <w:lang w:val="en-US"/>
        </w:rPr>
        <w:t xml:space="preserve">group, but without statistical significance being reached. </w:t>
      </w:r>
      <w:r w:rsidR="00696020">
        <w:rPr>
          <w:lang w:val="en-US"/>
        </w:rPr>
        <w:t>Weak opioids, as tramadol, are known to cause delirium, due to the existence of metabolites with antic</w:t>
      </w:r>
      <w:r w:rsidR="003F69C9">
        <w:rPr>
          <w:lang w:val="en-US"/>
        </w:rPr>
        <w:t>h</w:t>
      </w:r>
      <w:r w:rsidR="00696020">
        <w:rPr>
          <w:lang w:val="en-US"/>
        </w:rPr>
        <w:t>olinergic effects, in contrast to strong opioids, as oxycodone. However, studies includ</w:t>
      </w:r>
      <w:r w:rsidR="004D7C60">
        <w:rPr>
          <w:lang w:val="en-US"/>
        </w:rPr>
        <w:t>ed in this systematic review were of</w:t>
      </w:r>
      <w:r w:rsidR="00696020">
        <w:rPr>
          <w:lang w:val="en-US"/>
        </w:rPr>
        <w:t xml:space="preserve"> suboptimal quality (</w:t>
      </w:r>
      <w:r w:rsidR="002D4835">
        <w:rPr>
          <w:lang w:val="en-US"/>
        </w:rPr>
        <w:t>16</w:t>
      </w:r>
      <w:r w:rsidR="00696020">
        <w:rPr>
          <w:lang w:val="en-US"/>
        </w:rPr>
        <w:t>).</w:t>
      </w:r>
      <w:r w:rsidR="0094795C">
        <w:rPr>
          <w:lang w:val="en-US"/>
        </w:rPr>
        <w:t xml:space="preserve"> While pain per se can be the cause of delirium, treatment reluctance out of fear for delirium as a side effect is not justifiable.</w:t>
      </w:r>
      <w:r w:rsidR="00696020">
        <w:rPr>
          <w:lang w:val="en-US"/>
        </w:rPr>
        <w:t xml:space="preserve"> </w:t>
      </w:r>
      <w:r w:rsidR="00200347">
        <w:rPr>
          <w:lang w:val="en-US"/>
        </w:rPr>
        <w:t xml:space="preserve">Furthermore, an increased risk of side effects should always outweigh the potential </w:t>
      </w:r>
      <w:r w:rsidR="00EA23B2">
        <w:rPr>
          <w:lang w:val="en-US"/>
        </w:rPr>
        <w:t>risk of inadequately treating</w:t>
      </w:r>
      <w:r w:rsidR="00200347">
        <w:rPr>
          <w:lang w:val="en-US"/>
        </w:rPr>
        <w:t xml:space="preserve"> moderate to severe pain (</w:t>
      </w:r>
      <w:r w:rsidR="002D4835">
        <w:rPr>
          <w:lang w:val="en-US"/>
        </w:rPr>
        <w:t>17</w:t>
      </w:r>
      <w:r w:rsidR="00200347">
        <w:rPr>
          <w:lang w:val="en-US"/>
        </w:rPr>
        <w:t xml:space="preserve">). </w:t>
      </w:r>
      <w:r w:rsidR="0036721E" w:rsidRPr="0036721E">
        <w:rPr>
          <w:lang w:val="en-US"/>
        </w:rPr>
        <w:t xml:space="preserve">A </w:t>
      </w:r>
      <w:r w:rsidR="004C4E0C" w:rsidRPr="0036721E">
        <w:rPr>
          <w:lang w:val="en-US"/>
        </w:rPr>
        <w:t>s</w:t>
      </w:r>
      <w:r w:rsidR="004C4E0C">
        <w:rPr>
          <w:lang w:val="en-US"/>
        </w:rPr>
        <w:t>ystematic review on the use of opioids for treating musculoskeletal pain showed only a small effect on pain compared to placebo, with a higher risk for adverse events (</w:t>
      </w:r>
      <w:r w:rsidR="002D4835">
        <w:rPr>
          <w:lang w:val="en-US"/>
        </w:rPr>
        <w:t>18</w:t>
      </w:r>
      <w:r w:rsidR="004C4E0C">
        <w:rPr>
          <w:lang w:val="en-US"/>
        </w:rPr>
        <w:t>).</w:t>
      </w:r>
      <w:r w:rsidR="0036721E">
        <w:rPr>
          <w:lang w:val="en-US"/>
        </w:rPr>
        <w:t xml:space="preserve"> This was confirmed in </w:t>
      </w:r>
      <w:r w:rsidR="007D28B1">
        <w:rPr>
          <w:lang w:val="en-US"/>
        </w:rPr>
        <w:t>other systematic review</w:t>
      </w:r>
      <w:r w:rsidR="000918D8">
        <w:rPr>
          <w:lang w:val="en-US"/>
        </w:rPr>
        <w:t>s</w:t>
      </w:r>
      <w:r w:rsidR="007D28B1">
        <w:rPr>
          <w:lang w:val="en-US"/>
        </w:rPr>
        <w:t xml:space="preserve"> on the use of opioids in </w:t>
      </w:r>
      <w:proofErr w:type="spellStart"/>
      <w:r w:rsidR="007D28B1">
        <w:rPr>
          <w:lang w:val="en-US"/>
        </w:rPr>
        <w:t>osteo</w:t>
      </w:r>
      <w:proofErr w:type="spellEnd"/>
      <w:r w:rsidR="007D28B1">
        <w:rPr>
          <w:lang w:val="en-US"/>
        </w:rPr>
        <w:t>-arthritis (</w:t>
      </w:r>
      <w:r w:rsidR="002D4835">
        <w:rPr>
          <w:lang w:val="en-US"/>
        </w:rPr>
        <w:t>19, 20</w:t>
      </w:r>
      <w:r w:rsidR="007D28B1">
        <w:rPr>
          <w:lang w:val="en-US"/>
        </w:rPr>
        <w:t xml:space="preserve">). </w:t>
      </w:r>
      <w:r w:rsidR="000918D8">
        <w:rPr>
          <w:lang w:val="en-US"/>
        </w:rPr>
        <w:t>However, in those studies, opioids were used for treatment of chronic pain, and often in younger patients.</w:t>
      </w:r>
      <w:r w:rsidR="00EB1286">
        <w:rPr>
          <w:lang w:val="en-US"/>
        </w:rPr>
        <w:t xml:space="preserve"> In one meta-analysis, it was </w:t>
      </w:r>
      <w:r w:rsidR="00EB1286">
        <w:rPr>
          <w:lang w:val="en-US"/>
        </w:rPr>
        <w:lastRenderedPageBreak/>
        <w:t>concluded that the strongest effect on pain was seen in the first 2 to 4 weeks of treatment, with decreasing benefits the following weeks (</w:t>
      </w:r>
      <w:r w:rsidR="002D4835">
        <w:rPr>
          <w:lang w:val="en-US"/>
        </w:rPr>
        <w:t>20</w:t>
      </w:r>
      <w:r w:rsidR="00EB1286">
        <w:rPr>
          <w:lang w:val="en-US"/>
        </w:rPr>
        <w:t>).</w:t>
      </w:r>
    </w:p>
    <w:p w14:paraId="02A7AD7C" w14:textId="279F7747" w:rsidR="00EB75FA" w:rsidRPr="00015613" w:rsidRDefault="00015613" w:rsidP="00015613">
      <w:pPr>
        <w:spacing w:line="360" w:lineRule="auto"/>
        <w:rPr>
          <w:lang w:val="en-US"/>
        </w:rPr>
      </w:pPr>
      <w:r w:rsidRPr="00015613">
        <w:rPr>
          <w:lang w:val="en-US"/>
        </w:rPr>
        <w:t xml:space="preserve">It is </w:t>
      </w:r>
      <w:r>
        <w:rPr>
          <w:lang w:val="en-US"/>
        </w:rPr>
        <w:t>striking that all serious adverse events were observed in the tramadol</w:t>
      </w:r>
      <w:r w:rsidR="003F69C9">
        <w:rPr>
          <w:lang w:val="en-US"/>
        </w:rPr>
        <w:t xml:space="preserve"> </w:t>
      </w:r>
      <w:r>
        <w:rPr>
          <w:lang w:val="en-US"/>
        </w:rPr>
        <w:t>group. The appearance of convulsions, by lowering the threshold for convulsions, is a known side effect of tramadol, reason why</w:t>
      </w:r>
      <w:r w:rsidR="00120159">
        <w:rPr>
          <w:lang w:val="en-US"/>
        </w:rPr>
        <w:t xml:space="preserve"> high dose tramadol is contra-indicated in</w:t>
      </w:r>
      <w:r>
        <w:rPr>
          <w:lang w:val="en-US"/>
        </w:rPr>
        <w:t xml:space="preserve"> p</w:t>
      </w:r>
      <w:r w:rsidR="00440C8C">
        <w:rPr>
          <w:lang w:val="en-US"/>
        </w:rPr>
        <w:t>atients suffering from epilepsy</w:t>
      </w:r>
      <w:r>
        <w:rPr>
          <w:lang w:val="en-US"/>
        </w:rPr>
        <w:t xml:space="preserve"> (</w:t>
      </w:r>
      <w:r w:rsidR="002D4835">
        <w:rPr>
          <w:lang w:val="en-US"/>
        </w:rPr>
        <w:t>21</w:t>
      </w:r>
      <w:r>
        <w:rPr>
          <w:lang w:val="en-US"/>
        </w:rPr>
        <w:t>). The appearance of pulmonary edema is more difficult to explain. Cardiovascular dysregulation with palpitations and tachycardia is a known side effect, however especially occurring after intravenous administration and physical stress, as well as hypertension and hypertensive pulmonary edema (</w:t>
      </w:r>
      <w:r w:rsidR="002D4835">
        <w:rPr>
          <w:lang w:val="en-US"/>
        </w:rPr>
        <w:t>22</w:t>
      </w:r>
      <w:r>
        <w:rPr>
          <w:lang w:val="en-US"/>
        </w:rPr>
        <w:t>). However,</w:t>
      </w:r>
      <w:r w:rsidR="00B81642">
        <w:rPr>
          <w:lang w:val="en-US"/>
        </w:rPr>
        <w:t xml:space="preserve"> an accidental co-incidence can</w:t>
      </w:r>
      <w:r>
        <w:rPr>
          <w:lang w:val="en-US"/>
        </w:rPr>
        <w:t>not be excluded.</w:t>
      </w:r>
    </w:p>
    <w:p w14:paraId="0EFAF2EF" w14:textId="61D35DFB" w:rsidR="00EB75FA" w:rsidRDefault="006302D7" w:rsidP="00753BBA">
      <w:pPr>
        <w:spacing w:line="360" w:lineRule="auto"/>
        <w:rPr>
          <w:lang w:val="en-US"/>
        </w:rPr>
      </w:pPr>
      <w:r>
        <w:rPr>
          <w:lang w:val="en-US"/>
        </w:rPr>
        <w:t xml:space="preserve">The strength of this preliminary study lies in the approach where opioids are used for treatment of acute locomotor pain in older patients. </w:t>
      </w:r>
      <w:r w:rsidR="00753BBA">
        <w:rPr>
          <w:lang w:val="en-US"/>
        </w:rPr>
        <w:t>This draws attention to the fact that opioids can be used as short term treatment for acute moderate to severe locomotor pain in geriatric patients, with monitoring side effects and timely discontinuation of treatment if necessary</w:t>
      </w:r>
      <w:r w:rsidR="0036721E">
        <w:rPr>
          <w:lang w:val="en-US"/>
        </w:rPr>
        <w:t xml:space="preserve"> (in case of serious adverse events) or in case pain has resolved (in order to avoid opioid use disorder)</w:t>
      </w:r>
      <w:r w:rsidR="00753BBA">
        <w:rPr>
          <w:lang w:val="en-US"/>
        </w:rPr>
        <w:t>.</w:t>
      </w:r>
      <w:r w:rsidR="007D28B1">
        <w:rPr>
          <w:lang w:val="en-US"/>
        </w:rPr>
        <w:t xml:space="preserve"> Most studies up to now cover mid to long term treatment with opioids.</w:t>
      </w:r>
    </w:p>
    <w:p w14:paraId="04BE79E8" w14:textId="1A5774B4" w:rsidR="00EA23B2" w:rsidRPr="00265E75" w:rsidRDefault="00753BBA" w:rsidP="00EA23B2">
      <w:pPr>
        <w:autoSpaceDE w:val="0"/>
        <w:autoSpaceDN w:val="0"/>
        <w:adjustRightInd w:val="0"/>
        <w:spacing w:after="0" w:line="360" w:lineRule="auto"/>
        <w:rPr>
          <w:rFonts w:ascii="Calibri" w:hAnsi="Calibri" w:cs="Calibri"/>
          <w:color w:val="000000"/>
          <w:lang w:val="en-US"/>
        </w:rPr>
      </w:pPr>
      <w:r>
        <w:rPr>
          <w:lang w:val="en-US"/>
        </w:rPr>
        <w:t>The lack of power of the study is the most important lim</w:t>
      </w:r>
      <w:r w:rsidR="00373446">
        <w:rPr>
          <w:lang w:val="en-US"/>
        </w:rPr>
        <w:t xml:space="preserve">itation. There is a </w:t>
      </w:r>
      <w:r>
        <w:rPr>
          <w:lang w:val="en-US"/>
        </w:rPr>
        <w:t>trend to more side effects in the tramadol group, but this has to be confirmed in further studies</w:t>
      </w:r>
      <w:r w:rsidR="0057492D">
        <w:rPr>
          <w:lang w:val="en-US"/>
        </w:rPr>
        <w:t xml:space="preserve"> with greater power</w:t>
      </w:r>
      <w:r>
        <w:rPr>
          <w:lang w:val="en-US"/>
        </w:rPr>
        <w:t xml:space="preserve">. The most important reason for the lack of power is the extensive list of exclusion criteria. Especially </w:t>
      </w:r>
      <w:r w:rsidR="00F56FB7">
        <w:rPr>
          <w:lang w:val="en-US"/>
        </w:rPr>
        <w:t xml:space="preserve">exclusion of post-operative patients and of patients not </w:t>
      </w:r>
      <w:r>
        <w:rPr>
          <w:lang w:val="en-US"/>
        </w:rPr>
        <w:t xml:space="preserve">being able to sign the written informed consent led to the exclusion of </w:t>
      </w:r>
      <w:r w:rsidR="00373446">
        <w:rPr>
          <w:lang w:val="en-US"/>
        </w:rPr>
        <w:t xml:space="preserve">most </w:t>
      </w:r>
      <w:r>
        <w:rPr>
          <w:lang w:val="en-US"/>
        </w:rPr>
        <w:t xml:space="preserve">patients </w:t>
      </w:r>
      <w:r w:rsidR="00F56FB7">
        <w:rPr>
          <w:lang w:val="en-US"/>
        </w:rPr>
        <w:t xml:space="preserve">with hip fractures and of those </w:t>
      </w:r>
      <w:r>
        <w:rPr>
          <w:lang w:val="en-US"/>
        </w:rPr>
        <w:t xml:space="preserve">suffering from dementia. </w:t>
      </w:r>
      <w:r w:rsidR="00EA23B2">
        <w:rPr>
          <w:lang w:val="en-US"/>
        </w:rPr>
        <w:t>I</w:t>
      </w:r>
      <w:r>
        <w:rPr>
          <w:lang w:val="en-US"/>
        </w:rPr>
        <w:t>t would be very interesting in the fut</w:t>
      </w:r>
      <w:r w:rsidR="00F56FB7">
        <w:rPr>
          <w:lang w:val="en-US"/>
        </w:rPr>
        <w:t>ure to specifically include these categories</w:t>
      </w:r>
      <w:r>
        <w:rPr>
          <w:lang w:val="en-US"/>
        </w:rPr>
        <w:t xml:space="preserve"> of patients. </w:t>
      </w:r>
      <w:r w:rsidR="0057492D">
        <w:rPr>
          <w:lang w:val="en-US"/>
        </w:rPr>
        <w:t>Besides, the included cases seemed to be quite fit and not frail</w:t>
      </w:r>
      <w:r w:rsidR="00B533DD">
        <w:rPr>
          <w:lang w:val="en-US"/>
        </w:rPr>
        <w:t>, presumably at least partially explained by exclusion of patients suffering from dementia</w:t>
      </w:r>
      <w:r w:rsidR="0057492D">
        <w:rPr>
          <w:lang w:val="en-US"/>
        </w:rPr>
        <w:t xml:space="preserve">. </w:t>
      </w:r>
      <w:r w:rsidR="00B533DD">
        <w:rPr>
          <w:lang w:val="en-US"/>
        </w:rPr>
        <w:t xml:space="preserve">Including more frail patients could influence the results concerning effectiveness and safety. </w:t>
      </w:r>
      <w:r w:rsidR="00EA23B2" w:rsidRPr="00EA23B2">
        <w:rPr>
          <w:rFonts w:ascii="Calibri" w:hAnsi="Calibri" w:cs="Calibri"/>
          <w:color w:val="000000"/>
          <w:lang w:val="en-US"/>
        </w:rPr>
        <w:t>In this way, guidelines on pain treatment in older adults could be adjusted, instead of extrapolating guidelines largely from clinical experience and studies on younger individuals or patients suffering from chronic pain.</w:t>
      </w:r>
    </w:p>
    <w:p w14:paraId="72F4825A" w14:textId="77DEAABB" w:rsidR="008B38C9" w:rsidRDefault="008B38C9" w:rsidP="00440C8C">
      <w:pPr>
        <w:spacing w:line="360" w:lineRule="auto"/>
        <w:rPr>
          <w:lang w:val="en-US"/>
        </w:rPr>
      </w:pPr>
    </w:p>
    <w:p w14:paraId="4DB6BE3D" w14:textId="7D8DB4A6" w:rsidR="00327C5C" w:rsidRDefault="00327C5C">
      <w:pPr>
        <w:rPr>
          <w:b/>
          <w:lang w:val="en-US"/>
        </w:rPr>
      </w:pPr>
      <w:r>
        <w:rPr>
          <w:b/>
          <w:lang w:val="en-US"/>
        </w:rPr>
        <w:t xml:space="preserve">Acknowledgments </w:t>
      </w:r>
    </w:p>
    <w:p w14:paraId="40583286" w14:textId="2742444B" w:rsidR="00327C5C" w:rsidRDefault="00074B1F">
      <w:pPr>
        <w:rPr>
          <w:b/>
          <w:i/>
          <w:lang w:val="en-US"/>
        </w:rPr>
      </w:pPr>
      <w:r>
        <w:rPr>
          <w:b/>
          <w:i/>
          <w:lang w:val="en-US"/>
        </w:rPr>
        <w:t>Conflicts of Interest</w:t>
      </w:r>
    </w:p>
    <w:p w14:paraId="354E5C8E" w14:textId="492BDA9D" w:rsidR="00074B1F" w:rsidRDefault="00074B1F">
      <w:pPr>
        <w:rPr>
          <w:rFonts w:cstheme="minorHAnsi"/>
          <w:color w:val="1C1D1E"/>
          <w:shd w:val="clear" w:color="auto" w:fill="FFFFFF"/>
          <w:lang w:val="en-US"/>
        </w:rPr>
      </w:pPr>
      <w:r w:rsidRPr="00074B1F">
        <w:rPr>
          <w:rFonts w:cstheme="minorHAnsi"/>
          <w:color w:val="1C1D1E"/>
          <w:shd w:val="clear" w:color="auto" w:fill="FFFFFF"/>
          <w:lang w:val="en-US"/>
        </w:rPr>
        <w:t>The authors have no conflicts</w:t>
      </w:r>
      <w:r>
        <w:rPr>
          <w:rFonts w:cstheme="minorHAnsi"/>
          <w:color w:val="1C1D1E"/>
          <w:shd w:val="clear" w:color="auto" w:fill="FFFFFF"/>
          <w:lang w:val="en-US"/>
        </w:rPr>
        <w:t>.</w:t>
      </w:r>
    </w:p>
    <w:p w14:paraId="326E90B4" w14:textId="77777777" w:rsidR="001E4477" w:rsidRDefault="001E4477">
      <w:pPr>
        <w:rPr>
          <w:rFonts w:cstheme="minorHAnsi"/>
          <w:color w:val="1C1D1E"/>
          <w:shd w:val="clear" w:color="auto" w:fill="FFFFFF"/>
          <w:lang w:val="en-US"/>
        </w:rPr>
      </w:pPr>
    </w:p>
    <w:p w14:paraId="3442B342" w14:textId="6A896E03" w:rsidR="00074B1F" w:rsidRDefault="00074B1F">
      <w:pPr>
        <w:rPr>
          <w:rFonts w:cstheme="minorHAnsi"/>
          <w:b/>
          <w:i/>
          <w:color w:val="1C1D1E"/>
          <w:shd w:val="clear" w:color="auto" w:fill="FFFFFF"/>
          <w:lang w:val="en-US"/>
        </w:rPr>
      </w:pPr>
      <w:r>
        <w:rPr>
          <w:rFonts w:cstheme="minorHAnsi"/>
          <w:b/>
          <w:i/>
          <w:color w:val="1C1D1E"/>
          <w:shd w:val="clear" w:color="auto" w:fill="FFFFFF"/>
          <w:lang w:val="en-US"/>
        </w:rPr>
        <w:t>Author Contributions</w:t>
      </w:r>
    </w:p>
    <w:p w14:paraId="22F0C705" w14:textId="0E12F847" w:rsidR="00AF07C1" w:rsidRDefault="00AF07C1" w:rsidP="007A05A3">
      <w:pPr>
        <w:spacing w:line="360" w:lineRule="auto"/>
        <w:rPr>
          <w:rFonts w:ascii="Calibri" w:eastAsia="Calibri" w:hAnsi="Calibri" w:cs="Arial"/>
          <w:color w:val="1C1D1E"/>
          <w:sz w:val="24"/>
          <w:szCs w:val="24"/>
          <w:lang w:val="en"/>
        </w:rPr>
      </w:pPr>
      <w:r w:rsidRPr="000C59E7">
        <w:rPr>
          <w:rFonts w:ascii="Calibri" w:eastAsia="Calibri" w:hAnsi="Calibri" w:cs="Arial"/>
          <w:color w:val="1C1D1E"/>
          <w:sz w:val="24"/>
          <w:szCs w:val="24"/>
          <w:lang w:val="en"/>
        </w:rPr>
        <w:lastRenderedPageBreak/>
        <w:t xml:space="preserve">First author was responsible for </w:t>
      </w:r>
      <w:r>
        <w:rPr>
          <w:rFonts w:ascii="Calibri" w:eastAsia="Calibri" w:hAnsi="Calibri" w:cs="Arial"/>
          <w:color w:val="1C1D1E"/>
          <w:sz w:val="24"/>
          <w:szCs w:val="24"/>
          <w:lang w:val="en"/>
        </w:rPr>
        <w:t xml:space="preserve">study concept and design, </w:t>
      </w:r>
      <w:r w:rsidRPr="000C59E7">
        <w:rPr>
          <w:rFonts w:ascii="Calibri" w:eastAsia="Calibri" w:hAnsi="Calibri" w:cs="Arial"/>
          <w:color w:val="1C1D1E"/>
          <w:sz w:val="24"/>
          <w:szCs w:val="24"/>
          <w:lang w:val="en"/>
        </w:rPr>
        <w:t>acquisition of data, data analysis and interpretation of data and writing the manuscript.</w:t>
      </w:r>
      <w:r>
        <w:rPr>
          <w:rFonts w:ascii="Calibri" w:eastAsia="Calibri" w:hAnsi="Calibri" w:cs="Arial"/>
          <w:color w:val="1C1D1E"/>
          <w:sz w:val="24"/>
          <w:szCs w:val="24"/>
          <w:lang w:val="en"/>
        </w:rPr>
        <w:t xml:space="preserve"> Second author has had substantial contributions to </w:t>
      </w:r>
      <w:r w:rsidRPr="000C59E7">
        <w:rPr>
          <w:rFonts w:ascii="Calibri" w:eastAsia="Calibri" w:hAnsi="Calibri" w:cs="Arial"/>
          <w:color w:val="1C1D1E"/>
          <w:sz w:val="24"/>
          <w:szCs w:val="24"/>
          <w:lang w:val="en"/>
        </w:rPr>
        <w:t>data analysis and interpretation of data</w:t>
      </w:r>
      <w:r>
        <w:rPr>
          <w:rFonts w:ascii="Calibri" w:eastAsia="Calibri" w:hAnsi="Calibri" w:cs="Arial"/>
          <w:color w:val="1C1D1E"/>
          <w:sz w:val="24"/>
          <w:szCs w:val="24"/>
          <w:lang w:val="en"/>
        </w:rPr>
        <w:t>.</w:t>
      </w:r>
      <w:r w:rsidRPr="000C59E7">
        <w:rPr>
          <w:rFonts w:ascii="Calibri" w:eastAsia="Calibri" w:hAnsi="Calibri" w:cs="Arial"/>
          <w:color w:val="1C1D1E"/>
          <w:sz w:val="24"/>
          <w:szCs w:val="24"/>
          <w:lang w:val="en"/>
        </w:rPr>
        <w:t xml:space="preserve"> </w:t>
      </w:r>
      <w:r>
        <w:rPr>
          <w:rFonts w:ascii="Calibri" w:eastAsia="Calibri" w:hAnsi="Calibri" w:cs="Arial"/>
          <w:color w:val="1C1D1E"/>
          <w:sz w:val="24"/>
          <w:szCs w:val="24"/>
          <w:lang w:val="en"/>
        </w:rPr>
        <w:t>Third and fourth</w:t>
      </w:r>
      <w:r w:rsidRPr="000C59E7">
        <w:rPr>
          <w:rFonts w:ascii="Calibri" w:eastAsia="Calibri" w:hAnsi="Calibri" w:cs="Arial"/>
          <w:color w:val="1C1D1E"/>
          <w:sz w:val="24"/>
          <w:szCs w:val="24"/>
          <w:lang w:val="en"/>
        </w:rPr>
        <w:t xml:space="preserve"> author have had substantial contributions to study concept and design, analysis and interpretation of data, revised the article critically and approved it finally for publication.</w:t>
      </w:r>
    </w:p>
    <w:p w14:paraId="7AFD0D7A" w14:textId="77777777" w:rsidR="007A05A3" w:rsidRDefault="007A05A3" w:rsidP="007A05A3">
      <w:pPr>
        <w:spacing w:line="360" w:lineRule="auto"/>
        <w:rPr>
          <w:rFonts w:ascii="Calibri" w:eastAsia="Calibri" w:hAnsi="Calibri" w:cs="Arial"/>
          <w:color w:val="1C1D1E"/>
          <w:sz w:val="24"/>
          <w:szCs w:val="24"/>
          <w:lang w:val="en"/>
        </w:rPr>
      </w:pPr>
    </w:p>
    <w:p w14:paraId="58FB0126" w14:textId="0995EA61" w:rsidR="007A05A3" w:rsidRDefault="007A05A3" w:rsidP="007A05A3">
      <w:pPr>
        <w:spacing w:line="360" w:lineRule="auto"/>
        <w:rPr>
          <w:rFonts w:ascii="Calibri" w:eastAsia="Calibri" w:hAnsi="Calibri" w:cs="Arial"/>
          <w:b/>
          <w:i/>
          <w:color w:val="1C1D1E"/>
          <w:sz w:val="24"/>
          <w:szCs w:val="24"/>
          <w:lang w:val="en"/>
        </w:rPr>
      </w:pPr>
      <w:r>
        <w:rPr>
          <w:rFonts w:ascii="Calibri" w:eastAsia="Calibri" w:hAnsi="Calibri" w:cs="Arial"/>
          <w:b/>
          <w:i/>
          <w:color w:val="1C1D1E"/>
          <w:sz w:val="24"/>
          <w:szCs w:val="24"/>
          <w:lang w:val="en"/>
        </w:rPr>
        <w:t>Sponsor’s role</w:t>
      </w:r>
    </w:p>
    <w:p w14:paraId="45312644" w14:textId="46323F00" w:rsidR="007A05A3" w:rsidRPr="007A05A3" w:rsidRDefault="007A05A3" w:rsidP="007A05A3">
      <w:pPr>
        <w:spacing w:line="360" w:lineRule="auto"/>
        <w:rPr>
          <w:rFonts w:ascii="Calibri" w:eastAsia="Times New Roman" w:hAnsi="Calibri" w:cs="Times New Roman"/>
          <w:sz w:val="24"/>
          <w:szCs w:val="24"/>
          <w:lang w:val="en-US"/>
        </w:rPr>
      </w:pPr>
      <w:r>
        <w:rPr>
          <w:rFonts w:ascii="Calibri" w:eastAsia="Calibri" w:hAnsi="Calibri" w:cs="Arial"/>
          <w:color w:val="1C1D1E"/>
          <w:sz w:val="24"/>
          <w:szCs w:val="24"/>
          <w:lang w:val="en"/>
        </w:rPr>
        <w:t>No sponsors/funding resources.</w:t>
      </w:r>
    </w:p>
    <w:p w14:paraId="1A4189E8" w14:textId="77777777" w:rsidR="00074B1F" w:rsidRPr="00074B1F" w:rsidRDefault="00074B1F">
      <w:pPr>
        <w:rPr>
          <w:rFonts w:cstheme="minorHAnsi"/>
          <w:color w:val="1C1D1E"/>
          <w:shd w:val="clear" w:color="auto" w:fill="FFFFFF"/>
          <w:lang w:val="en-US"/>
        </w:rPr>
      </w:pPr>
    </w:p>
    <w:p w14:paraId="6C894E30" w14:textId="77777777" w:rsidR="00074B1F" w:rsidRPr="00074B1F" w:rsidRDefault="00074B1F">
      <w:pPr>
        <w:rPr>
          <w:rFonts w:cstheme="minorHAnsi"/>
          <w:b/>
          <w:i/>
          <w:lang w:val="en-US"/>
        </w:rPr>
      </w:pPr>
    </w:p>
    <w:p w14:paraId="3A11D092" w14:textId="77777777" w:rsidR="001B2345" w:rsidRDefault="001B2345">
      <w:pPr>
        <w:rPr>
          <w:b/>
          <w:lang w:val="en-US"/>
        </w:rPr>
      </w:pPr>
      <w:r>
        <w:rPr>
          <w:b/>
          <w:lang w:val="en-US"/>
        </w:rPr>
        <w:t xml:space="preserve">References </w:t>
      </w:r>
    </w:p>
    <w:p w14:paraId="21B98D50" w14:textId="0100A12B" w:rsidR="00552BA3" w:rsidRPr="008D128A" w:rsidRDefault="00552BA3" w:rsidP="00552BA3">
      <w:pPr>
        <w:pStyle w:val="EndNoteBibliography"/>
        <w:spacing w:after="0" w:line="360" w:lineRule="auto"/>
        <w:ind w:left="720" w:hanging="720"/>
        <w:rPr>
          <w:lang w:val="nl-BE"/>
        </w:rPr>
      </w:pPr>
      <w:r w:rsidRPr="009A7B55">
        <w:t>1.</w:t>
      </w:r>
      <w:r w:rsidRPr="009A7B55">
        <w:tab/>
      </w:r>
      <w:r w:rsidR="0092099B" w:rsidRPr="0092099B">
        <w:t>Davis</w:t>
      </w:r>
      <w:r w:rsidRPr="0092099B">
        <w:t xml:space="preserve"> MP</w:t>
      </w:r>
      <w:r w:rsidR="0092099B" w:rsidRPr="0092099B">
        <w:t xml:space="preserve">, </w:t>
      </w:r>
      <w:r w:rsidRPr="0092099B">
        <w:t>Srivastava</w:t>
      </w:r>
      <w:r w:rsidR="0092099B" w:rsidRPr="0092099B">
        <w:t xml:space="preserve"> M.</w:t>
      </w:r>
      <w:r w:rsidRPr="0092099B">
        <w:t xml:space="preserve"> Demographics, assessment and management of pain in the elderly. </w:t>
      </w:r>
      <w:r w:rsidR="0092099B" w:rsidRPr="008D128A">
        <w:rPr>
          <w:lang w:val="nl-BE"/>
        </w:rPr>
        <w:t>Drugs A</w:t>
      </w:r>
      <w:r w:rsidR="007E3CDB" w:rsidRPr="008D128A">
        <w:rPr>
          <w:lang w:val="nl-BE"/>
        </w:rPr>
        <w:t>ging, 2003;</w:t>
      </w:r>
      <w:r w:rsidRPr="008D128A">
        <w:rPr>
          <w:lang w:val="nl-BE"/>
        </w:rPr>
        <w:t xml:space="preserve"> 20</w:t>
      </w:r>
      <w:r w:rsidR="0092099B" w:rsidRPr="008D128A">
        <w:rPr>
          <w:lang w:val="nl-BE"/>
        </w:rPr>
        <w:t>: 23-57;</w:t>
      </w:r>
    </w:p>
    <w:p w14:paraId="666EEF3B" w14:textId="657A57D8" w:rsidR="00552BA3" w:rsidRPr="008D128A" w:rsidRDefault="00552BA3" w:rsidP="00552BA3">
      <w:pPr>
        <w:pStyle w:val="EndNoteBibliography"/>
        <w:spacing w:after="0" w:line="360" w:lineRule="auto"/>
        <w:ind w:left="720" w:hanging="720"/>
        <w:rPr>
          <w:lang w:val="nl-BE"/>
        </w:rPr>
      </w:pPr>
      <w:r w:rsidRPr="0092099B">
        <w:rPr>
          <w:lang w:val="nl-BE"/>
        </w:rPr>
        <w:t>2.</w:t>
      </w:r>
      <w:r w:rsidRPr="0092099B">
        <w:rPr>
          <w:lang w:val="nl-BE"/>
        </w:rPr>
        <w:tab/>
      </w:r>
      <w:r w:rsidR="0092099B" w:rsidRPr="0092099B">
        <w:rPr>
          <w:lang w:val="nl-BE"/>
        </w:rPr>
        <w:t>Olde Rikkert</w:t>
      </w:r>
      <w:r w:rsidRPr="0092099B">
        <w:rPr>
          <w:lang w:val="nl-BE"/>
        </w:rPr>
        <w:t xml:space="preserve"> M</w:t>
      </w:r>
      <w:r w:rsidR="0092099B" w:rsidRPr="0092099B">
        <w:rPr>
          <w:lang w:val="nl-BE"/>
        </w:rPr>
        <w:t>GM, van</w:t>
      </w:r>
      <w:r w:rsidR="0092099B">
        <w:rPr>
          <w:lang w:val="nl-BE"/>
        </w:rPr>
        <w:t xml:space="preserve"> Iersel MB, Flamaing J, Petrovic M, Schols JMGA, Hoefnagels WHL.</w:t>
      </w:r>
      <w:r w:rsidRPr="0092099B">
        <w:rPr>
          <w:lang w:val="nl-BE"/>
        </w:rPr>
        <w:t xml:space="preserve"> Probleemgeorienteerd denken in de geriatie Vol. 1. </w:t>
      </w:r>
      <w:r w:rsidR="0092099B" w:rsidRPr="008D128A">
        <w:rPr>
          <w:lang w:val="nl-BE"/>
        </w:rPr>
        <w:t>2008: de Tijdstroom. 485;</w:t>
      </w:r>
    </w:p>
    <w:p w14:paraId="52323BEA" w14:textId="46627B82" w:rsidR="00552BA3" w:rsidRPr="0092099B" w:rsidRDefault="00552BA3" w:rsidP="00D92DB9">
      <w:pPr>
        <w:pStyle w:val="EndNoteBibliography"/>
        <w:spacing w:after="0" w:line="360" w:lineRule="auto"/>
        <w:ind w:left="720" w:hanging="720"/>
      </w:pPr>
      <w:r w:rsidRPr="008D128A">
        <w:rPr>
          <w:lang w:val="nl-BE"/>
        </w:rPr>
        <w:t>3.</w:t>
      </w:r>
      <w:r w:rsidRPr="008D128A">
        <w:rPr>
          <w:lang w:val="nl-BE"/>
        </w:rPr>
        <w:tab/>
      </w:r>
      <w:r w:rsidR="0092099B" w:rsidRPr="008D128A">
        <w:rPr>
          <w:lang w:val="nl-BE"/>
        </w:rPr>
        <w:t>Thomas E</w:t>
      </w:r>
      <w:r w:rsidRPr="008D128A">
        <w:rPr>
          <w:lang w:val="nl-BE"/>
        </w:rPr>
        <w:t>,</w:t>
      </w:r>
      <w:r w:rsidR="0092099B" w:rsidRPr="008D128A">
        <w:rPr>
          <w:lang w:val="nl-BE"/>
        </w:rPr>
        <w:t xml:space="preserve"> Peat G, Harris L, Wilkie R, Croft PC.</w:t>
      </w:r>
      <w:r w:rsidRPr="008D128A">
        <w:rPr>
          <w:lang w:val="nl-BE"/>
        </w:rPr>
        <w:t xml:space="preserve"> </w:t>
      </w:r>
      <w:r w:rsidRPr="0092099B">
        <w:t>The prevalence of pain and pain interference in a general population of older adults: cross-sectional findings from the North Staffordshire Osteoarthritis Project (NorStOP).</w:t>
      </w:r>
      <w:r w:rsidR="007E3CDB">
        <w:t xml:space="preserve"> Pain 2004;</w:t>
      </w:r>
      <w:r w:rsidRPr="0092099B">
        <w:t xml:space="preserve"> </w:t>
      </w:r>
      <w:r w:rsidR="0092099B">
        <w:t>110</w:t>
      </w:r>
      <w:r w:rsidRPr="0092099B">
        <w:t>: 361-</w:t>
      </w:r>
      <w:r w:rsidR="0092099B">
        <w:t>36</w:t>
      </w:r>
      <w:r w:rsidRPr="0092099B">
        <w:t>8</w:t>
      </w:r>
      <w:r w:rsidR="0092099B">
        <w:t>;</w:t>
      </w:r>
    </w:p>
    <w:p w14:paraId="6C316AB4" w14:textId="43F811BD" w:rsidR="00552BA3" w:rsidRPr="008D128A" w:rsidRDefault="00D92DB9" w:rsidP="00552BA3">
      <w:pPr>
        <w:pStyle w:val="EndNoteBibliography"/>
        <w:spacing w:after="0" w:line="360" w:lineRule="auto"/>
        <w:ind w:left="720" w:hanging="720"/>
        <w:rPr>
          <w:lang w:val="nl-BE"/>
        </w:rPr>
      </w:pPr>
      <w:r w:rsidRPr="0092099B">
        <w:t>4</w:t>
      </w:r>
      <w:r w:rsidR="0092099B">
        <w:t>.</w:t>
      </w:r>
      <w:r w:rsidR="0092099B">
        <w:tab/>
        <w:t>Helme</w:t>
      </w:r>
      <w:r w:rsidR="00552BA3" w:rsidRPr="0092099B">
        <w:t xml:space="preserve"> RD</w:t>
      </w:r>
      <w:r w:rsidR="0092099B">
        <w:t xml:space="preserve">, </w:t>
      </w:r>
      <w:r w:rsidR="00552BA3" w:rsidRPr="0092099B">
        <w:t>Gibson</w:t>
      </w:r>
      <w:r w:rsidR="0092099B">
        <w:t xml:space="preserve"> SJ.</w:t>
      </w:r>
      <w:r w:rsidR="00552BA3" w:rsidRPr="0092099B">
        <w:t xml:space="preserve"> The epidemiology of pain in elderly people.</w:t>
      </w:r>
      <w:r w:rsidR="0092099B">
        <w:t xml:space="preserve"> </w:t>
      </w:r>
      <w:r w:rsidR="0092099B" w:rsidRPr="008D128A">
        <w:rPr>
          <w:lang w:val="nl-BE"/>
        </w:rPr>
        <w:t>Clin</w:t>
      </w:r>
      <w:r w:rsidR="00552BA3" w:rsidRPr="008D128A">
        <w:rPr>
          <w:lang w:val="nl-BE"/>
        </w:rPr>
        <w:t xml:space="preserve"> </w:t>
      </w:r>
      <w:r w:rsidR="0092099B" w:rsidRPr="008D128A">
        <w:rPr>
          <w:lang w:val="nl-BE"/>
        </w:rPr>
        <w:t>G</w:t>
      </w:r>
      <w:r w:rsidR="00552BA3" w:rsidRPr="008D128A">
        <w:rPr>
          <w:lang w:val="nl-BE"/>
        </w:rPr>
        <w:t>eriatr</w:t>
      </w:r>
      <w:r w:rsidR="0092099B" w:rsidRPr="008D128A">
        <w:rPr>
          <w:lang w:val="nl-BE"/>
        </w:rPr>
        <w:t xml:space="preserve"> M</w:t>
      </w:r>
      <w:r w:rsidR="00552BA3" w:rsidRPr="008D128A">
        <w:rPr>
          <w:lang w:val="nl-BE"/>
        </w:rPr>
        <w:t xml:space="preserve">ed </w:t>
      </w:r>
      <w:r w:rsidR="007E3CDB" w:rsidRPr="008D128A">
        <w:rPr>
          <w:lang w:val="nl-BE"/>
        </w:rPr>
        <w:t>2001;</w:t>
      </w:r>
      <w:r w:rsidR="00552BA3" w:rsidRPr="008D128A">
        <w:rPr>
          <w:lang w:val="nl-BE"/>
        </w:rPr>
        <w:t xml:space="preserve"> 17: 417-</w:t>
      </w:r>
      <w:r w:rsidR="0092099B" w:rsidRPr="008D128A">
        <w:rPr>
          <w:lang w:val="nl-BE"/>
        </w:rPr>
        <w:t>4</w:t>
      </w:r>
      <w:r w:rsidR="00552BA3" w:rsidRPr="008D128A">
        <w:rPr>
          <w:lang w:val="nl-BE"/>
        </w:rPr>
        <w:t>31</w:t>
      </w:r>
      <w:r w:rsidR="0092099B" w:rsidRPr="008D128A">
        <w:rPr>
          <w:lang w:val="nl-BE"/>
        </w:rPr>
        <w:t>;</w:t>
      </w:r>
    </w:p>
    <w:p w14:paraId="2145E255" w14:textId="1A71607B" w:rsidR="00552BA3" w:rsidRPr="0092099B" w:rsidRDefault="00D92DB9" w:rsidP="00D92DB9">
      <w:pPr>
        <w:pStyle w:val="EndNoteBibliography"/>
        <w:spacing w:after="0" w:line="360" w:lineRule="auto"/>
        <w:ind w:left="720" w:hanging="720"/>
      </w:pPr>
      <w:r w:rsidRPr="007E3CDB">
        <w:rPr>
          <w:lang w:val="nl-BE"/>
        </w:rPr>
        <w:t>5</w:t>
      </w:r>
      <w:r w:rsidR="00552BA3" w:rsidRPr="007E3CDB">
        <w:rPr>
          <w:lang w:val="nl-BE"/>
        </w:rPr>
        <w:t>.</w:t>
      </w:r>
      <w:r w:rsidR="00552BA3" w:rsidRPr="007E3CDB">
        <w:rPr>
          <w:lang w:val="nl-BE"/>
        </w:rPr>
        <w:tab/>
        <w:t xml:space="preserve">Boerlage AA, </w:t>
      </w:r>
      <w:r w:rsidR="007E3CDB" w:rsidRPr="007E3CDB">
        <w:rPr>
          <w:lang w:val="nl-BE"/>
        </w:rPr>
        <w:t>van Dijk M, Stronks DL, de Wit R, van der Rijt CCD.</w:t>
      </w:r>
      <w:r w:rsidR="00552BA3" w:rsidRPr="007E3CDB">
        <w:rPr>
          <w:lang w:val="nl-BE"/>
        </w:rPr>
        <w:t xml:space="preserve"> </w:t>
      </w:r>
      <w:r w:rsidR="00552BA3" w:rsidRPr="0092099B">
        <w:t xml:space="preserve">Pain prevalence and characteristics in three Dutch residential homes. Eur </w:t>
      </w:r>
      <w:r w:rsidR="007E3CDB">
        <w:t>J</w:t>
      </w:r>
      <w:r w:rsidR="00552BA3" w:rsidRPr="0092099B">
        <w:t xml:space="preserve"> </w:t>
      </w:r>
      <w:r w:rsidR="007E3CDB">
        <w:t>Pain 2008;</w:t>
      </w:r>
      <w:r w:rsidR="00552BA3" w:rsidRPr="0092099B">
        <w:t xml:space="preserve"> 12: 910-</w:t>
      </w:r>
      <w:r w:rsidR="007E3CDB">
        <w:t>916;</w:t>
      </w:r>
    </w:p>
    <w:p w14:paraId="1108ABC7" w14:textId="6D06E0F6" w:rsidR="00552BA3" w:rsidRPr="0092099B" w:rsidRDefault="00D92DB9" w:rsidP="00552BA3">
      <w:pPr>
        <w:pStyle w:val="EndNoteBibliography"/>
        <w:spacing w:after="0" w:line="360" w:lineRule="auto"/>
        <w:ind w:left="720" w:hanging="720"/>
      </w:pPr>
      <w:r w:rsidRPr="0092099B">
        <w:t>6</w:t>
      </w:r>
      <w:r w:rsidR="00552BA3" w:rsidRPr="0092099B">
        <w:t>.</w:t>
      </w:r>
      <w:r w:rsidR="00552BA3" w:rsidRPr="0092099B">
        <w:tab/>
        <w:t>Miaskowski C. The impact of age on a patient’s perception of pain and ways it can be managed.</w:t>
      </w:r>
      <w:r w:rsidR="007E3CDB">
        <w:t xml:space="preserve"> Pain Manag Nurs 2000;</w:t>
      </w:r>
      <w:r w:rsidR="00552BA3" w:rsidRPr="0092099B">
        <w:t xml:space="preserve"> 1</w:t>
      </w:r>
      <w:r w:rsidR="007E3CDB">
        <w:t>: 2-7;</w:t>
      </w:r>
    </w:p>
    <w:p w14:paraId="6363C1CF" w14:textId="30EE1DE4" w:rsidR="00552BA3" w:rsidRPr="008D128A" w:rsidRDefault="00D92DB9" w:rsidP="00D92DB9">
      <w:pPr>
        <w:pStyle w:val="EndNoteBibliography"/>
        <w:spacing w:after="0" w:line="360" w:lineRule="auto"/>
        <w:ind w:left="720" w:hanging="720"/>
        <w:rPr>
          <w:lang w:val="nl-BE"/>
        </w:rPr>
      </w:pPr>
      <w:r w:rsidRPr="0092099B">
        <w:t>7</w:t>
      </w:r>
      <w:r w:rsidR="00552BA3" w:rsidRPr="0092099B">
        <w:t>.</w:t>
      </w:r>
      <w:r w:rsidR="00552BA3" w:rsidRPr="0092099B">
        <w:tab/>
        <w:t>Cowan D, Fitzpatrick</w:t>
      </w:r>
      <w:r w:rsidR="00B46E50">
        <w:t xml:space="preserve"> J</w:t>
      </w:r>
      <w:r w:rsidR="00552BA3" w:rsidRPr="0092099B">
        <w:t>, Roberts</w:t>
      </w:r>
      <w:r w:rsidR="00B46E50">
        <w:t xml:space="preserve"> J.</w:t>
      </w:r>
      <w:r w:rsidR="00552BA3" w:rsidRPr="0092099B">
        <w:t xml:space="preserve"> The assessment and management of pain among older people in care homes: current</w:t>
      </w:r>
      <w:r w:rsidR="00B46E50">
        <w:t xml:space="preserve"> status and future directions. </w:t>
      </w:r>
      <w:r w:rsidR="00B46E50" w:rsidRPr="008D128A">
        <w:rPr>
          <w:lang w:val="nl-BE"/>
        </w:rPr>
        <w:t>Int J Nurs Stud, 2003;</w:t>
      </w:r>
      <w:r w:rsidR="00552BA3" w:rsidRPr="008D128A">
        <w:rPr>
          <w:lang w:val="nl-BE"/>
        </w:rPr>
        <w:t xml:space="preserve"> 40</w:t>
      </w:r>
      <w:r w:rsidR="00B46E50" w:rsidRPr="008D128A">
        <w:rPr>
          <w:lang w:val="nl-BE"/>
        </w:rPr>
        <w:t>: 291-298;</w:t>
      </w:r>
    </w:p>
    <w:p w14:paraId="2A5A621B" w14:textId="31F3966F" w:rsidR="00552BA3" w:rsidRPr="0092099B" w:rsidRDefault="00D92DB9" w:rsidP="00D92DB9">
      <w:pPr>
        <w:pStyle w:val="EndNoteBibliography"/>
        <w:spacing w:after="0" w:line="360" w:lineRule="auto"/>
        <w:ind w:left="720" w:hanging="720"/>
      </w:pPr>
      <w:r w:rsidRPr="0069277D">
        <w:rPr>
          <w:lang w:val="nl-BE"/>
        </w:rPr>
        <w:t>8</w:t>
      </w:r>
      <w:r w:rsidR="00552BA3" w:rsidRPr="0069277D">
        <w:rPr>
          <w:lang w:val="nl-BE"/>
        </w:rPr>
        <w:t>.</w:t>
      </w:r>
      <w:r w:rsidR="00552BA3" w:rsidRPr="0069277D">
        <w:rPr>
          <w:lang w:val="nl-BE"/>
        </w:rPr>
        <w:tab/>
        <w:t>Per</w:t>
      </w:r>
      <w:r w:rsidR="0069277D" w:rsidRPr="0069277D">
        <w:rPr>
          <w:lang w:val="nl-BE"/>
        </w:rPr>
        <w:t>golizzi</w:t>
      </w:r>
      <w:r w:rsidR="00552BA3" w:rsidRPr="0069277D">
        <w:rPr>
          <w:lang w:val="nl-BE"/>
        </w:rPr>
        <w:t xml:space="preserve"> J, </w:t>
      </w:r>
      <w:r w:rsidR="0069277D" w:rsidRPr="0069277D">
        <w:rPr>
          <w:lang w:val="nl-BE"/>
        </w:rPr>
        <w:t>Böger RH, Budd K, et al.</w:t>
      </w:r>
      <w:r w:rsidR="00552BA3" w:rsidRPr="0069277D">
        <w:rPr>
          <w:lang w:val="nl-BE"/>
        </w:rPr>
        <w:t xml:space="preserve"> </w:t>
      </w:r>
      <w:r w:rsidR="00552BA3" w:rsidRPr="0092099B">
        <w:t>Opioids and the management of chronic severe pain in the elderly: consensus statement of an International Expert Panel with focus on the six clinically most often used World Health Organization Step III opioids (buprenorphine, fentanyl, hydromorphone, methadone, morphine, oxycodone).</w:t>
      </w:r>
      <w:r w:rsidR="0069277D">
        <w:t xml:space="preserve"> Pain P</w:t>
      </w:r>
      <w:r w:rsidR="00552BA3" w:rsidRPr="0092099B">
        <w:t>ract</w:t>
      </w:r>
      <w:r w:rsidR="0069277D">
        <w:t xml:space="preserve"> 2008;</w:t>
      </w:r>
      <w:r w:rsidR="00552BA3" w:rsidRPr="0092099B">
        <w:t xml:space="preserve"> 8: 287-313</w:t>
      </w:r>
      <w:r w:rsidR="0069277D">
        <w:t>;</w:t>
      </w:r>
    </w:p>
    <w:p w14:paraId="68727E72" w14:textId="77E92BFB" w:rsidR="00552BA3" w:rsidRPr="0092099B" w:rsidRDefault="00D92DB9" w:rsidP="00552BA3">
      <w:pPr>
        <w:pStyle w:val="EndNoteBibliography"/>
        <w:spacing w:after="0" w:line="360" w:lineRule="auto"/>
        <w:ind w:left="720" w:hanging="720"/>
      </w:pPr>
      <w:r w:rsidRPr="0092099B">
        <w:lastRenderedPageBreak/>
        <w:t>9</w:t>
      </w:r>
      <w:r w:rsidR="00552BA3" w:rsidRPr="0092099B">
        <w:t>.</w:t>
      </w:r>
      <w:r w:rsidR="00552BA3" w:rsidRPr="0092099B">
        <w:tab/>
        <w:t xml:space="preserve">Wongrakpanich S, </w:t>
      </w:r>
      <w:r w:rsidR="00676031">
        <w:t>Wongrakpanich A, Melhado K, Rangaswami J.</w:t>
      </w:r>
      <w:r w:rsidR="00552BA3" w:rsidRPr="0092099B">
        <w:t xml:space="preserve"> A Comprehensive Review of Non-Steroidal Anti-Inflammatory Drug Use in The Elderly. Aging </w:t>
      </w:r>
      <w:r w:rsidR="00676031">
        <w:t>D</w:t>
      </w:r>
      <w:r w:rsidR="00552BA3" w:rsidRPr="0092099B">
        <w:t>is</w:t>
      </w:r>
      <w:r w:rsidR="00676031">
        <w:t xml:space="preserve"> 2018;</w:t>
      </w:r>
      <w:r w:rsidR="00552BA3" w:rsidRPr="0092099B">
        <w:t xml:space="preserve"> 9: 143-150</w:t>
      </w:r>
      <w:r w:rsidR="00676031">
        <w:t>;</w:t>
      </w:r>
    </w:p>
    <w:p w14:paraId="14985676" w14:textId="23A36CED" w:rsidR="007F0A3A" w:rsidRPr="0092099B" w:rsidRDefault="007F0A3A" w:rsidP="00552BA3">
      <w:pPr>
        <w:pStyle w:val="EndNoteBibliography"/>
        <w:spacing w:after="0" w:line="360" w:lineRule="auto"/>
        <w:ind w:left="720" w:hanging="720"/>
      </w:pPr>
      <w:r w:rsidRPr="0092099B">
        <w:t xml:space="preserve">10.         Gazelka </w:t>
      </w:r>
      <w:r w:rsidR="005E757D">
        <w:t>HM, Leal JC, L</w:t>
      </w:r>
      <w:r w:rsidR="001A28C2" w:rsidRPr="0092099B">
        <w:t>apid MI, Rummans TA. Opioids in older adults: indications, prescribing, complications, and alternative therapies for primary care. Mayo Clin Proc 2020; 95: 793-800;</w:t>
      </w:r>
    </w:p>
    <w:p w14:paraId="72775895" w14:textId="7D65EF2E" w:rsidR="007F0A3A" w:rsidRPr="0092099B" w:rsidRDefault="007F0A3A" w:rsidP="00552BA3">
      <w:pPr>
        <w:pStyle w:val="EndNoteBibliography"/>
        <w:spacing w:after="0" w:line="360" w:lineRule="auto"/>
        <w:ind w:left="720" w:hanging="720"/>
      </w:pPr>
      <w:r w:rsidRPr="0092099B">
        <w:t>11.         Chau</w:t>
      </w:r>
      <w:r w:rsidR="001A28C2" w:rsidRPr="0092099B">
        <w:t xml:space="preserve"> DL, Walker V, Pai L, Cho LM. Opiates and elderly: use and side effects. Clin Interv Aging 2008; 3: 273-278;</w:t>
      </w:r>
    </w:p>
    <w:p w14:paraId="4CFED529" w14:textId="0F338C4E" w:rsidR="00552BA3" w:rsidRPr="0092099B" w:rsidRDefault="007F0A3A" w:rsidP="007F0A3A">
      <w:pPr>
        <w:pStyle w:val="EndNoteBibliography"/>
        <w:spacing w:after="0" w:line="360" w:lineRule="auto"/>
        <w:ind w:left="720" w:hanging="720"/>
      </w:pPr>
      <w:r w:rsidRPr="0092099B">
        <w:t>12.         Wilder-Smith</w:t>
      </w:r>
      <w:r w:rsidR="001A28C2" w:rsidRPr="0092099B">
        <w:t xml:space="preserve"> OHG. Opioid use in the elderly. Review Eur J Pain 2005; 9: 137-140;</w:t>
      </w:r>
    </w:p>
    <w:p w14:paraId="674475AF" w14:textId="6B158599" w:rsidR="00552BA3" w:rsidRPr="008D128A" w:rsidRDefault="007F0A3A" w:rsidP="00552BA3">
      <w:pPr>
        <w:pStyle w:val="EndNoteBibliography"/>
        <w:spacing w:after="0" w:line="360" w:lineRule="auto"/>
        <w:ind w:left="720" w:hanging="720"/>
      </w:pPr>
      <w:r w:rsidRPr="0092099B">
        <w:t>13</w:t>
      </w:r>
      <w:r w:rsidR="00552BA3" w:rsidRPr="0092099B">
        <w:t>.</w:t>
      </w:r>
      <w:r w:rsidR="00552BA3" w:rsidRPr="0092099B">
        <w:tab/>
        <w:t>Karlsson M</w:t>
      </w:r>
      <w:r w:rsidR="005E757D">
        <w:t>,</w:t>
      </w:r>
      <w:r w:rsidR="00552BA3" w:rsidRPr="0092099B">
        <w:t xml:space="preserve"> Berggren</w:t>
      </w:r>
      <w:r w:rsidR="005E757D">
        <w:t xml:space="preserve"> A.</w:t>
      </w:r>
      <w:r w:rsidR="00552BA3" w:rsidRPr="0092099B">
        <w:t xml:space="preserve"> Efficacy and safety of low-dose transdermal buprenorfine patches versus prolonged-release tramadol tablets in patiënts with chronic osteoartritis pain: a 12-week, randomized, open-label, controlled, parall</w:t>
      </w:r>
      <w:r w:rsidR="005E757D">
        <w:t>el-group noninferiority study.</w:t>
      </w:r>
      <w:r w:rsidR="00552BA3" w:rsidRPr="0092099B">
        <w:t xml:space="preserve"> </w:t>
      </w:r>
      <w:r w:rsidR="005E757D" w:rsidRPr="008D128A">
        <w:t>Clin Ther, 2009;</w:t>
      </w:r>
      <w:r w:rsidR="00552BA3" w:rsidRPr="008D128A">
        <w:t xml:space="preserve"> 31: 503-513</w:t>
      </w:r>
      <w:r w:rsidR="005E757D" w:rsidRPr="008D128A">
        <w:t>;</w:t>
      </w:r>
    </w:p>
    <w:p w14:paraId="208C8C9A" w14:textId="3A9CA028" w:rsidR="007F0A3A" w:rsidRPr="0092099B" w:rsidRDefault="007F0A3A" w:rsidP="00552BA3">
      <w:pPr>
        <w:pStyle w:val="EndNoteBibliography"/>
        <w:spacing w:after="0" w:line="360" w:lineRule="auto"/>
        <w:ind w:left="720" w:hanging="720"/>
      </w:pPr>
      <w:r w:rsidRPr="008D128A">
        <w:t xml:space="preserve">14.         </w:t>
      </w:r>
      <w:r w:rsidRPr="0092099B">
        <w:t>Furlan</w:t>
      </w:r>
      <w:r w:rsidR="00933C8C">
        <w:t xml:space="preserve"> AD, S</w:t>
      </w:r>
      <w:r w:rsidR="001A28C2" w:rsidRPr="0092099B">
        <w:t>andoval JA, Mailis-Gagnon A, Tunks E. Opioids for chronic noncancer pain: a meta-analysis of effectiveness and side effects. CMAJ 2006; 174: 1589-1594;</w:t>
      </w:r>
    </w:p>
    <w:p w14:paraId="136E9C22" w14:textId="3C09448B" w:rsidR="007F0A3A" w:rsidRPr="008D128A" w:rsidRDefault="007F0A3A" w:rsidP="00552BA3">
      <w:pPr>
        <w:pStyle w:val="EndNoteBibliography"/>
        <w:spacing w:after="0" w:line="360" w:lineRule="auto"/>
        <w:ind w:left="720" w:hanging="720"/>
        <w:rPr>
          <w:lang w:val="nl-BE"/>
        </w:rPr>
      </w:pPr>
      <w:r w:rsidRPr="0092099B">
        <w:t>15.         Hunold</w:t>
      </w:r>
      <w:r w:rsidR="00B27172" w:rsidRPr="0092099B">
        <w:t xml:space="preserve"> KM, Esserman DA, Isaacs CG et al. Side effects from oral opioids in older adults during the first week of treatment for acute musculoskeletal pain. </w:t>
      </w:r>
      <w:r w:rsidR="00B27172" w:rsidRPr="008D128A">
        <w:rPr>
          <w:lang w:val="nl-BE"/>
        </w:rPr>
        <w:t>Acad emerg Med 2013; 20: 872-879;</w:t>
      </w:r>
    </w:p>
    <w:p w14:paraId="27DD7B17" w14:textId="01AF4D2E" w:rsidR="00142B77" w:rsidRPr="0092099B" w:rsidRDefault="00142B77" w:rsidP="00552BA3">
      <w:pPr>
        <w:pStyle w:val="EndNoteBibliography"/>
        <w:spacing w:after="0" w:line="360" w:lineRule="auto"/>
        <w:ind w:left="720" w:hanging="720"/>
      </w:pPr>
      <w:r w:rsidRPr="008D128A">
        <w:rPr>
          <w:lang w:val="nl-BE"/>
        </w:rPr>
        <w:t xml:space="preserve">16.         </w:t>
      </w:r>
      <w:r w:rsidRPr="00933C8C">
        <w:rPr>
          <w:lang w:val="nl-BE"/>
        </w:rPr>
        <w:t>Swart</w:t>
      </w:r>
      <w:r w:rsidR="00696BF9" w:rsidRPr="00933C8C">
        <w:rPr>
          <w:lang w:val="nl-BE"/>
        </w:rPr>
        <w:t xml:space="preserve"> LM</w:t>
      </w:r>
      <w:r w:rsidR="00933C8C" w:rsidRPr="00933C8C">
        <w:rPr>
          <w:lang w:val="nl-BE"/>
        </w:rPr>
        <w:t>,</w:t>
      </w:r>
      <w:r w:rsidR="00696BF9" w:rsidRPr="00933C8C">
        <w:rPr>
          <w:lang w:val="nl-BE"/>
        </w:rPr>
        <w:t xml:space="preserve"> </w:t>
      </w:r>
      <w:r w:rsidR="00933C8C">
        <w:rPr>
          <w:lang w:val="nl-BE"/>
        </w:rPr>
        <w:t>van der Zanden V, Spies PE, de Rooij SE, van Munster BC.</w:t>
      </w:r>
      <w:r w:rsidR="00696BF9" w:rsidRPr="0092099B">
        <w:rPr>
          <w:lang w:val="nl-BE"/>
        </w:rPr>
        <w:t xml:space="preserve"> </w:t>
      </w:r>
      <w:r w:rsidR="00696BF9" w:rsidRPr="0092099B">
        <w:t xml:space="preserve">The comparative risk of delirium with different opioids: a systematic review. Drugs </w:t>
      </w:r>
      <w:r w:rsidR="00A06C84" w:rsidRPr="0092099B">
        <w:t>A</w:t>
      </w:r>
      <w:r w:rsidR="00696BF9" w:rsidRPr="0092099B">
        <w:t>ging 2017; 34: 437-443;</w:t>
      </w:r>
    </w:p>
    <w:p w14:paraId="77278644" w14:textId="4CD866F2" w:rsidR="00142B77" w:rsidRPr="0092099B" w:rsidRDefault="00142B77" w:rsidP="00552BA3">
      <w:pPr>
        <w:pStyle w:val="EndNoteBibliography"/>
        <w:spacing w:after="0" w:line="360" w:lineRule="auto"/>
        <w:ind w:left="720" w:hanging="720"/>
      </w:pPr>
      <w:r w:rsidRPr="0092099B">
        <w:t>17.         O’Neil</w:t>
      </w:r>
      <w:r w:rsidR="00A06C84" w:rsidRPr="0092099B">
        <w:t xml:space="preserve"> CK, Hanlon JT, M</w:t>
      </w:r>
      <w:r w:rsidR="00696BF9" w:rsidRPr="0092099B">
        <w:t>arcum ZA. Adverse effects of analgesics commonly used by older adults with osteoarthritis: focus on non-opioid and opioid analgesics. Am J geriatr Pharmacother 2012; 10: 331-342;</w:t>
      </w:r>
    </w:p>
    <w:p w14:paraId="60AD7417" w14:textId="6CA63FF1" w:rsidR="00142B77" w:rsidRPr="0092099B" w:rsidRDefault="00142B77" w:rsidP="00552BA3">
      <w:pPr>
        <w:pStyle w:val="EndNoteBibliography"/>
        <w:spacing w:after="0" w:line="360" w:lineRule="auto"/>
        <w:ind w:left="720" w:hanging="720"/>
      </w:pPr>
      <w:r w:rsidRPr="0092099B">
        <w:t>18.         Megale</w:t>
      </w:r>
      <w:r w:rsidR="00A06C84" w:rsidRPr="0092099B">
        <w:t xml:space="preserve"> RZ, Deveza LA, Blyth FM et al. Efficacy and safety of oral and transdermal opioid analgesics for musculoskeletal pain in older adults: a systematic review of randomized, placebo-controlled trials. J Pain 2018; 19: </w:t>
      </w:r>
      <w:r w:rsidR="00A06C84" w:rsidRPr="0092099B">
        <w:rPr>
          <w:rFonts w:asciiTheme="minorHAnsi" w:hAnsiTheme="minorHAnsi" w:cstheme="minorHAnsi"/>
          <w:shd w:val="clear" w:color="auto" w:fill="FFFFFF"/>
        </w:rPr>
        <w:t>475.e1-475.e24;</w:t>
      </w:r>
    </w:p>
    <w:p w14:paraId="3D073E67" w14:textId="47F56F18" w:rsidR="00142B77" w:rsidRPr="0092099B" w:rsidRDefault="00142B77" w:rsidP="00552BA3">
      <w:pPr>
        <w:pStyle w:val="EndNoteBibliography"/>
        <w:spacing w:after="0" w:line="360" w:lineRule="auto"/>
        <w:ind w:left="720" w:hanging="720"/>
      </w:pPr>
      <w:r w:rsidRPr="0092099B">
        <w:t>19.         Fuggle</w:t>
      </w:r>
      <w:r w:rsidR="00A06C84" w:rsidRPr="0092099B">
        <w:t xml:space="preserve"> N, Curtis E, Shaw S et al. safety of opioids in osteoarthritis: outcomes of a systematic review and meta-analysis. Drugs Aging 2019; 36: 129-143;</w:t>
      </w:r>
    </w:p>
    <w:p w14:paraId="2964CC8F" w14:textId="083B3FEC" w:rsidR="00142B77" w:rsidRPr="0092099B" w:rsidRDefault="00142B77" w:rsidP="00552BA3">
      <w:pPr>
        <w:pStyle w:val="EndNoteBibliography"/>
        <w:spacing w:after="0" w:line="360" w:lineRule="auto"/>
        <w:ind w:left="720" w:hanging="720"/>
      </w:pPr>
      <w:r w:rsidRPr="0092099B">
        <w:t xml:space="preserve">20.         </w:t>
      </w:r>
      <w:r w:rsidRPr="0092099B">
        <w:rPr>
          <w:lang w:val="de-DE"/>
        </w:rPr>
        <w:t>Osani</w:t>
      </w:r>
      <w:r w:rsidR="001E4477">
        <w:rPr>
          <w:lang w:val="de-DE"/>
        </w:rPr>
        <w:t xml:space="preserve"> MC, Lohmander LS, B</w:t>
      </w:r>
      <w:r w:rsidR="00A06C84" w:rsidRPr="0092099B">
        <w:rPr>
          <w:lang w:val="de-DE"/>
        </w:rPr>
        <w:t xml:space="preserve">annuru RR. </w:t>
      </w:r>
      <w:r w:rsidR="00A06C84" w:rsidRPr="0092099B">
        <w:t>Is there any role for opioids in the management of knee and hip osteoarthritis? A systematic review and meta-analysis. Arthritis Care Res 2021; 73: 1413-1424;</w:t>
      </w:r>
    </w:p>
    <w:p w14:paraId="15AF03E7" w14:textId="1D1555A6" w:rsidR="00142B77" w:rsidRPr="0092099B" w:rsidRDefault="00142B77" w:rsidP="00552BA3">
      <w:pPr>
        <w:pStyle w:val="EndNoteBibliography"/>
        <w:spacing w:after="0" w:line="360" w:lineRule="auto"/>
        <w:ind w:left="720" w:hanging="720"/>
      </w:pPr>
      <w:r w:rsidRPr="0092099B">
        <w:t xml:space="preserve">21.         </w:t>
      </w:r>
      <w:r w:rsidR="00120159" w:rsidRPr="0092099B">
        <w:t>Scientific leaflet Tramadol;</w:t>
      </w:r>
    </w:p>
    <w:p w14:paraId="1F635BDA" w14:textId="5991BE0A" w:rsidR="00142B77" w:rsidRPr="0092099B" w:rsidRDefault="00142B77" w:rsidP="00552BA3">
      <w:pPr>
        <w:pStyle w:val="EndNoteBibliography"/>
        <w:spacing w:after="0" w:line="360" w:lineRule="auto"/>
        <w:ind w:left="720" w:hanging="720"/>
      </w:pPr>
      <w:r w:rsidRPr="0092099B">
        <w:t>22.         Savage</w:t>
      </w:r>
      <w:r w:rsidR="00A06C84" w:rsidRPr="0092099B">
        <w:t xml:space="preserve"> R. Serious reactions with tramadol: seizures and serotonin syndrome. Medsafe prescriber update 2007; 28: 11-13.</w:t>
      </w:r>
    </w:p>
    <w:p w14:paraId="4879F967" w14:textId="77777777" w:rsidR="00142B77" w:rsidRPr="00142B77" w:rsidRDefault="00142B77" w:rsidP="00552BA3">
      <w:pPr>
        <w:pStyle w:val="EndNoteBibliography"/>
        <w:spacing w:after="0" w:line="360" w:lineRule="auto"/>
        <w:ind w:left="720" w:hanging="720"/>
      </w:pPr>
    </w:p>
    <w:p w14:paraId="5A12C030" w14:textId="77777777" w:rsidR="007F0A3A" w:rsidRPr="00142B77" w:rsidRDefault="007F0A3A" w:rsidP="00552BA3">
      <w:pPr>
        <w:pStyle w:val="EndNoteBibliography"/>
        <w:spacing w:after="0" w:line="360" w:lineRule="auto"/>
        <w:ind w:left="720" w:hanging="720"/>
      </w:pPr>
    </w:p>
    <w:p w14:paraId="7A17BCDE" w14:textId="77777777" w:rsidR="009106A3" w:rsidRPr="00142B77" w:rsidRDefault="009106A3" w:rsidP="00552BA3">
      <w:pPr>
        <w:rPr>
          <w:lang w:val="en-US"/>
        </w:rPr>
      </w:pPr>
    </w:p>
    <w:p w14:paraId="0BE99BB3" w14:textId="77777777" w:rsidR="009106A3" w:rsidRDefault="009106A3" w:rsidP="009106A3">
      <w:pPr>
        <w:spacing w:line="360" w:lineRule="auto"/>
        <w:rPr>
          <w:b/>
          <w:i/>
          <w:lang w:val="en-US"/>
        </w:rPr>
      </w:pPr>
      <w:r>
        <w:rPr>
          <w:b/>
          <w:i/>
          <w:lang w:val="en-US"/>
        </w:rPr>
        <w:lastRenderedPageBreak/>
        <w:t>Table 1: Patient characteristics</w:t>
      </w:r>
    </w:p>
    <w:tbl>
      <w:tblPr>
        <w:tblStyle w:val="Tabelraster"/>
        <w:tblW w:w="0" w:type="auto"/>
        <w:tblLook w:val="04A0" w:firstRow="1" w:lastRow="0" w:firstColumn="1" w:lastColumn="0" w:noHBand="0" w:noVBand="1"/>
      </w:tblPr>
      <w:tblGrid>
        <w:gridCol w:w="1555"/>
        <w:gridCol w:w="2409"/>
        <w:gridCol w:w="1370"/>
        <w:gridCol w:w="1370"/>
        <w:gridCol w:w="1371"/>
        <w:gridCol w:w="987"/>
      </w:tblGrid>
      <w:tr w:rsidR="009106A3" w:rsidRPr="0058364E" w14:paraId="1CB387B4" w14:textId="77777777" w:rsidTr="005F1886">
        <w:tc>
          <w:tcPr>
            <w:tcW w:w="3964" w:type="dxa"/>
            <w:gridSpan w:val="2"/>
          </w:tcPr>
          <w:p w14:paraId="1C06DD4C" w14:textId="77777777" w:rsidR="009106A3" w:rsidRPr="0058364E" w:rsidRDefault="009106A3" w:rsidP="005F1886">
            <w:pPr>
              <w:rPr>
                <w:lang w:val="en-US"/>
              </w:rPr>
            </w:pPr>
          </w:p>
        </w:tc>
        <w:tc>
          <w:tcPr>
            <w:tcW w:w="1370" w:type="dxa"/>
          </w:tcPr>
          <w:p w14:paraId="4E647A16" w14:textId="77777777" w:rsidR="009106A3" w:rsidRPr="0058364E" w:rsidRDefault="009106A3" w:rsidP="005F1886">
            <w:pPr>
              <w:rPr>
                <w:lang w:val="en-US"/>
              </w:rPr>
            </w:pPr>
            <w:r w:rsidRPr="0058364E">
              <w:rPr>
                <w:lang w:val="en-US"/>
              </w:rPr>
              <w:t>All patients (n=49)</w:t>
            </w:r>
          </w:p>
        </w:tc>
        <w:tc>
          <w:tcPr>
            <w:tcW w:w="1370" w:type="dxa"/>
          </w:tcPr>
          <w:p w14:paraId="7FAC70C9" w14:textId="33406D95" w:rsidR="009106A3" w:rsidRPr="0058364E" w:rsidRDefault="0058364E" w:rsidP="0058364E">
            <w:pPr>
              <w:rPr>
                <w:lang w:val="en-US"/>
              </w:rPr>
            </w:pPr>
            <w:r>
              <w:rPr>
                <w:lang w:val="en-US"/>
              </w:rPr>
              <w:t xml:space="preserve">Tramadol group </w:t>
            </w:r>
            <w:r w:rsidR="009106A3" w:rsidRPr="0058364E">
              <w:rPr>
                <w:lang w:val="en-US"/>
              </w:rPr>
              <w:t>(n=25)</w:t>
            </w:r>
          </w:p>
        </w:tc>
        <w:tc>
          <w:tcPr>
            <w:tcW w:w="1371" w:type="dxa"/>
          </w:tcPr>
          <w:p w14:paraId="156FC436" w14:textId="50F8D493" w:rsidR="009106A3" w:rsidRPr="0058364E" w:rsidRDefault="0058364E" w:rsidP="0058364E">
            <w:pPr>
              <w:rPr>
                <w:lang w:val="en-US"/>
              </w:rPr>
            </w:pPr>
            <w:r>
              <w:rPr>
                <w:lang w:val="en-US"/>
              </w:rPr>
              <w:t>Oxycodone g</w:t>
            </w:r>
            <w:r w:rsidR="009106A3" w:rsidRPr="0058364E">
              <w:rPr>
                <w:lang w:val="en-US"/>
              </w:rPr>
              <w:t>roup (n=24)</w:t>
            </w:r>
          </w:p>
        </w:tc>
        <w:tc>
          <w:tcPr>
            <w:tcW w:w="987" w:type="dxa"/>
          </w:tcPr>
          <w:p w14:paraId="7BC70263" w14:textId="77777777" w:rsidR="009106A3" w:rsidRPr="0058364E" w:rsidRDefault="009106A3" w:rsidP="005F1886">
            <w:pPr>
              <w:rPr>
                <w:lang w:val="en-US"/>
              </w:rPr>
            </w:pPr>
            <w:r w:rsidRPr="0058364E">
              <w:rPr>
                <w:lang w:val="en-US"/>
              </w:rPr>
              <w:t>p-value</w:t>
            </w:r>
          </w:p>
        </w:tc>
      </w:tr>
      <w:tr w:rsidR="009106A3" w:rsidRPr="0058364E" w14:paraId="4579C0CE" w14:textId="77777777" w:rsidTr="005F1886">
        <w:tc>
          <w:tcPr>
            <w:tcW w:w="3964" w:type="dxa"/>
            <w:gridSpan w:val="2"/>
          </w:tcPr>
          <w:p w14:paraId="2E69C20F" w14:textId="77777777" w:rsidR="009106A3" w:rsidRPr="0058364E" w:rsidRDefault="009106A3" w:rsidP="005F1886">
            <w:pPr>
              <w:rPr>
                <w:lang w:val="en-US"/>
              </w:rPr>
            </w:pPr>
            <w:r w:rsidRPr="0058364E">
              <w:rPr>
                <w:lang w:val="en-US"/>
              </w:rPr>
              <w:t>Mean age (years)</w:t>
            </w:r>
          </w:p>
        </w:tc>
        <w:tc>
          <w:tcPr>
            <w:tcW w:w="1370" w:type="dxa"/>
          </w:tcPr>
          <w:p w14:paraId="2A467FBC" w14:textId="77777777" w:rsidR="009106A3" w:rsidRPr="0058364E" w:rsidRDefault="009106A3" w:rsidP="005F1886">
            <w:pPr>
              <w:rPr>
                <w:lang w:val="en-US"/>
              </w:rPr>
            </w:pPr>
            <w:r w:rsidRPr="0058364E">
              <w:rPr>
                <w:lang w:val="en-US"/>
              </w:rPr>
              <w:t>86 (range 74-97)</w:t>
            </w:r>
          </w:p>
        </w:tc>
        <w:tc>
          <w:tcPr>
            <w:tcW w:w="1370" w:type="dxa"/>
          </w:tcPr>
          <w:p w14:paraId="6D9F114E" w14:textId="77777777" w:rsidR="009106A3" w:rsidRPr="0058364E" w:rsidRDefault="009106A3" w:rsidP="005F1886">
            <w:pPr>
              <w:rPr>
                <w:lang w:val="en-US"/>
              </w:rPr>
            </w:pPr>
            <w:r w:rsidRPr="0058364E">
              <w:rPr>
                <w:lang w:val="en-US"/>
              </w:rPr>
              <w:t>86</w:t>
            </w:r>
          </w:p>
        </w:tc>
        <w:tc>
          <w:tcPr>
            <w:tcW w:w="1371" w:type="dxa"/>
          </w:tcPr>
          <w:p w14:paraId="0A67DE84" w14:textId="77777777" w:rsidR="009106A3" w:rsidRPr="0058364E" w:rsidRDefault="009106A3" w:rsidP="005F1886">
            <w:pPr>
              <w:rPr>
                <w:lang w:val="en-US"/>
              </w:rPr>
            </w:pPr>
            <w:r w:rsidRPr="0058364E">
              <w:rPr>
                <w:lang w:val="en-US"/>
              </w:rPr>
              <w:t>86</w:t>
            </w:r>
          </w:p>
        </w:tc>
        <w:tc>
          <w:tcPr>
            <w:tcW w:w="987" w:type="dxa"/>
          </w:tcPr>
          <w:p w14:paraId="4DD0271F" w14:textId="77777777" w:rsidR="009106A3" w:rsidRPr="0058364E" w:rsidRDefault="009106A3" w:rsidP="005F1886">
            <w:pPr>
              <w:rPr>
                <w:lang w:val="en-US"/>
              </w:rPr>
            </w:pPr>
            <w:r w:rsidRPr="0058364E">
              <w:rPr>
                <w:lang w:val="en-US"/>
              </w:rPr>
              <w:t>NS</w:t>
            </w:r>
          </w:p>
        </w:tc>
      </w:tr>
      <w:tr w:rsidR="009106A3" w:rsidRPr="0058364E" w14:paraId="13FB3397" w14:textId="77777777" w:rsidTr="005F1886">
        <w:tc>
          <w:tcPr>
            <w:tcW w:w="3964" w:type="dxa"/>
            <w:gridSpan w:val="2"/>
          </w:tcPr>
          <w:p w14:paraId="6AE671EE" w14:textId="77777777" w:rsidR="009106A3" w:rsidRPr="0058364E" w:rsidRDefault="009106A3" w:rsidP="005F1886">
            <w:pPr>
              <w:rPr>
                <w:lang w:val="en-US"/>
              </w:rPr>
            </w:pPr>
            <w:r w:rsidRPr="0058364E">
              <w:rPr>
                <w:lang w:val="en-US"/>
              </w:rPr>
              <w:t>Mean geriatric risk profile</w:t>
            </w:r>
          </w:p>
        </w:tc>
        <w:tc>
          <w:tcPr>
            <w:tcW w:w="1370" w:type="dxa"/>
          </w:tcPr>
          <w:p w14:paraId="25ADA229" w14:textId="77777777" w:rsidR="009106A3" w:rsidRPr="0058364E" w:rsidRDefault="009106A3" w:rsidP="005F1886">
            <w:pPr>
              <w:rPr>
                <w:lang w:val="en-US"/>
              </w:rPr>
            </w:pPr>
            <w:r w:rsidRPr="0058364E">
              <w:rPr>
                <w:lang w:val="en-US"/>
              </w:rPr>
              <w:t>2.7</w:t>
            </w:r>
          </w:p>
        </w:tc>
        <w:tc>
          <w:tcPr>
            <w:tcW w:w="1370" w:type="dxa"/>
          </w:tcPr>
          <w:p w14:paraId="1132CB8D" w14:textId="77777777" w:rsidR="009106A3" w:rsidRPr="0058364E" w:rsidRDefault="009106A3" w:rsidP="005F1886">
            <w:pPr>
              <w:rPr>
                <w:lang w:val="en-US"/>
              </w:rPr>
            </w:pPr>
            <w:r w:rsidRPr="0058364E">
              <w:rPr>
                <w:lang w:val="en-US"/>
              </w:rPr>
              <w:t>2.9</w:t>
            </w:r>
          </w:p>
        </w:tc>
        <w:tc>
          <w:tcPr>
            <w:tcW w:w="1371" w:type="dxa"/>
          </w:tcPr>
          <w:p w14:paraId="64B78CBA" w14:textId="77777777" w:rsidR="009106A3" w:rsidRPr="0058364E" w:rsidRDefault="009106A3" w:rsidP="005F1886">
            <w:pPr>
              <w:rPr>
                <w:lang w:val="en-US"/>
              </w:rPr>
            </w:pPr>
            <w:r w:rsidRPr="0058364E">
              <w:rPr>
                <w:lang w:val="en-US"/>
              </w:rPr>
              <w:t>2.5</w:t>
            </w:r>
          </w:p>
        </w:tc>
        <w:tc>
          <w:tcPr>
            <w:tcW w:w="987" w:type="dxa"/>
          </w:tcPr>
          <w:p w14:paraId="709EB7B9" w14:textId="77777777" w:rsidR="009106A3" w:rsidRPr="0058364E" w:rsidRDefault="009106A3" w:rsidP="005F1886">
            <w:pPr>
              <w:rPr>
                <w:lang w:val="en-US"/>
              </w:rPr>
            </w:pPr>
            <w:r w:rsidRPr="0058364E">
              <w:rPr>
                <w:lang w:val="en-US"/>
              </w:rPr>
              <w:t>NS</w:t>
            </w:r>
          </w:p>
        </w:tc>
      </w:tr>
      <w:tr w:rsidR="009106A3" w:rsidRPr="0058364E" w14:paraId="4E8B72DD" w14:textId="77777777" w:rsidTr="005F1886">
        <w:trPr>
          <w:trHeight w:val="180"/>
        </w:trPr>
        <w:tc>
          <w:tcPr>
            <w:tcW w:w="1555" w:type="dxa"/>
            <w:vMerge w:val="restart"/>
          </w:tcPr>
          <w:p w14:paraId="26F6D33E" w14:textId="77777777" w:rsidR="009106A3" w:rsidRPr="0058364E" w:rsidRDefault="009106A3" w:rsidP="005F1886">
            <w:pPr>
              <w:rPr>
                <w:lang w:val="en-US"/>
              </w:rPr>
            </w:pPr>
            <w:r w:rsidRPr="0058364E">
              <w:rPr>
                <w:lang w:val="en-US"/>
              </w:rPr>
              <w:t>Living circumstances</w:t>
            </w:r>
          </w:p>
        </w:tc>
        <w:tc>
          <w:tcPr>
            <w:tcW w:w="2409" w:type="dxa"/>
          </w:tcPr>
          <w:p w14:paraId="6612AB84" w14:textId="77777777" w:rsidR="009106A3" w:rsidRPr="0058364E" w:rsidRDefault="009106A3" w:rsidP="005F1886">
            <w:pPr>
              <w:rPr>
                <w:lang w:val="en-US"/>
              </w:rPr>
            </w:pPr>
            <w:r w:rsidRPr="0058364E">
              <w:rPr>
                <w:lang w:val="en-US"/>
              </w:rPr>
              <w:t>At home</w:t>
            </w:r>
          </w:p>
        </w:tc>
        <w:tc>
          <w:tcPr>
            <w:tcW w:w="1370" w:type="dxa"/>
          </w:tcPr>
          <w:p w14:paraId="754AD76B" w14:textId="77777777" w:rsidR="009106A3" w:rsidRPr="0058364E" w:rsidRDefault="009106A3" w:rsidP="005F1886">
            <w:pPr>
              <w:rPr>
                <w:lang w:val="en-US"/>
              </w:rPr>
            </w:pPr>
            <w:r w:rsidRPr="0058364E">
              <w:rPr>
                <w:lang w:val="en-US"/>
              </w:rPr>
              <w:t>42</w:t>
            </w:r>
          </w:p>
        </w:tc>
        <w:tc>
          <w:tcPr>
            <w:tcW w:w="1370" w:type="dxa"/>
          </w:tcPr>
          <w:p w14:paraId="5337165C" w14:textId="77777777" w:rsidR="009106A3" w:rsidRPr="0058364E" w:rsidRDefault="009106A3" w:rsidP="005F1886">
            <w:pPr>
              <w:rPr>
                <w:lang w:val="en-US"/>
              </w:rPr>
            </w:pPr>
            <w:r w:rsidRPr="0058364E">
              <w:rPr>
                <w:lang w:val="en-US"/>
              </w:rPr>
              <w:t>20</w:t>
            </w:r>
          </w:p>
        </w:tc>
        <w:tc>
          <w:tcPr>
            <w:tcW w:w="1371" w:type="dxa"/>
          </w:tcPr>
          <w:p w14:paraId="0361B63F" w14:textId="77777777" w:rsidR="009106A3" w:rsidRPr="0058364E" w:rsidRDefault="009106A3" w:rsidP="005F1886">
            <w:pPr>
              <w:rPr>
                <w:lang w:val="en-US"/>
              </w:rPr>
            </w:pPr>
            <w:r w:rsidRPr="0058364E">
              <w:rPr>
                <w:lang w:val="en-US"/>
              </w:rPr>
              <w:t>22</w:t>
            </w:r>
          </w:p>
        </w:tc>
        <w:tc>
          <w:tcPr>
            <w:tcW w:w="987" w:type="dxa"/>
            <w:vMerge w:val="restart"/>
          </w:tcPr>
          <w:p w14:paraId="569934CD" w14:textId="77777777" w:rsidR="009106A3" w:rsidRPr="0058364E" w:rsidRDefault="009106A3" w:rsidP="005F1886">
            <w:pPr>
              <w:rPr>
                <w:lang w:val="en-US"/>
              </w:rPr>
            </w:pPr>
            <w:r w:rsidRPr="0058364E">
              <w:rPr>
                <w:lang w:val="en-US"/>
              </w:rPr>
              <w:t>NS</w:t>
            </w:r>
          </w:p>
        </w:tc>
      </w:tr>
      <w:tr w:rsidR="009106A3" w:rsidRPr="0058364E" w14:paraId="44F189CD" w14:textId="77777777" w:rsidTr="005F1886">
        <w:trPr>
          <w:trHeight w:val="180"/>
        </w:trPr>
        <w:tc>
          <w:tcPr>
            <w:tcW w:w="1555" w:type="dxa"/>
            <w:vMerge/>
          </w:tcPr>
          <w:p w14:paraId="56C272AF" w14:textId="77777777" w:rsidR="009106A3" w:rsidRPr="0058364E" w:rsidRDefault="009106A3" w:rsidP="005F1886">
            <w:pPr>
              <w:rPr>
                <w:lang w:val="en-US"/>
              </w:rPr>
            </w:pPr>
          </w:p>
        </w:tc>
        <w:tc>
          <w:tcPr>
            <w:tcW w:w="2409" w:type="dxa"/>
          </w:tcPr>
          <w:p w14:paraId="7CB67AB6" w14:textId="77777777" w:rsidR="009106A3" w:rsidRPr="0058364E" w:rsidRDefault="009106A3" w:rsidP="005F1886">
            <w:pPr>
              <w:rPr>
                <w:lang w:val="en-US"/>
              </w:rPr>
            </w:pPr>
            <w:r w:rsidRPr="0058364E">
              <w:rPr>
                <w:lang w:val="en-US"/>
              </w:rPr>
              <w:t>Assisted living facility</w:t>
            </w:r>
          </w:p>
        </w:tc>
        <w:tc>
          <w:tcPr>
            <w:tcW w:w="1370" w:type="dxa"/>
          </w:tcPr>
          <w:p w14:paraId="7F8EA1D5" w14:textId="77777777" w:rsidR="009106A3" w:rsidRPr="0058364E" w:rsidRDefault="009106A3" w:rsidP="005F1886">
            <w:pPr>
              <w:rPr>
                <w:lang w:val="en-US"/>
              </w:rPr>
            </w:pPr>
            <w:r w:rsidRPr="0058364E">
              <w:rPr>
                <w:lang w:val="en-US"/>
              </w:rPr>
              <w:t>6</w:t>
            </w:r>
          </w:p>
        </w:tc>
        <w:tc>
          <w:tcPr>
            <w:tcW w:w="1370" w:type="dxa"/>
          </w:tcPr>
          <w:p w14:paraId="1DE36330" w14:textId="77777777" w:rsidR="009106A3" w:rsidRPr="0058364E" w:rsidRDefault="009106A3" w:rsidP="005F1886">
            <w:pPr>
              <w:rPr>
                <w:lang w:val="en-US"/>
              </w:rPr>
            </w:pPr>
            <w:r w:rsidRPr="0058364E">
              <w:rPr>
                <w:lang w:val="en-US"/>
              </w:rPr>
              <w:t>4</w:t>
            </w:r>
          </w:p>
        </w:tc>
        <w:tc>
          <w:tcPr>
            <w:tcW w:w="1371" w:type="dxa"/>
          </w:tcPr>
          <w:p w14:paraId="3760F730" w14:textId="77777777" w:rsidR="009106A3" w:rsidRPr="0058364E" w:rsidRDefault="009106A3" w:rsidP="005F1886">
            <w:pPr>
              <w:rPr>
                <w:lang w:val="en-US"/>
              </w:rPr>
            </w:pPr>
            <w:r w:rsidRPr="0058364E">
              <w:rPr>
                <w:lang w:val="en-US"/>
              </w:rPr>
              <w:t>2</w:t>
            </w:r>
          </w:p>
        </w:tc>
        <w:tc>
          <w:tcPr>
            <w:tcW w:w="987" w:type="dxa"/>
            <w:vMerge/>
          </w:tcPr>
          <w:p w14:paraId="1DF7C29C" w14:textId="77777777" w:rsidR="009106A3" w:rsidRPr="0058364E" w:rsidRDefault="009106A3" w:rsidP="005F1886">
            <w:pPr>
              <w:rPr>
                <w:lang w:val="en-US"/>
              </w:rPr>
            </w:pPr>
          </w:p>
        </w:tc>
      </w:tr>
      <w:tr w:rsidR="009106A3" w:rsidRPr="0058364E" w14:paraId="6E53859B" w14:textId="77777777" w:rsidTr="005F1886">
        <w:trPr>
          <w:trHeight w:val="180"/>
        </w:trPr>
        <w:tc>
          <w:tcPr>
            <w:tcW w:w="1555" w:type="dxa"/>
            <w:vMerge/>
          </w:tcPr>
          <w:p w14:paraId="014060FB" w14:textId="77777777" w:rsidR="009106A3" w:rsidRPr="0058364E" w:rsidRDefault="009106A3" w:rsidP="005F1886">
            <w:pPr>
              <w:rPr>
                <w:lang w:val="en-US"/>
              </w:rPr>
            </w:pPr>
          </w:p>
        </w:tc>
        <w:tc>
          <w:tcPr>
            <w:tcW w:w="2409" w:type="dxa"/>
          </w:tcPr>
          <w:p w14:paraId="1DD5390E" w14:textId="0529912C" w:rsidR="009106A3" w:rsidRPr="0058364E" w:rsidRDefault="0058364E" w:rsidP="005F1886">
            <w:pPr>
              <w:rPr>
                <w:lang w:val="en-US"/>
              </w:rPr>
            </w:pPr>
            <w:r w:rsidRPr="0058364E">
              <w:rPr>
                <w:lang w:val="en-US"/>
              </w:rPr>
              <w:t>R</w:t>
            </w:r>
            <w:r w:rsidR="009106A3" w:rsidRPr="0058364E">
              <w:rPr>
                <w:lang w:val="en-US"/>
              </w:rPr>
              <w:t>esidential</w:t>
            </w:r>
            <w:r w:rsidRPr="0058364E">
              <w:rPr>
                <w:lang w:val="en-US"/>
              </w:rPr>
              <w:t xml:space="preserve"> </w:t>
            </w:r>
          </w:p>
        </w:tc>
        <w:tc>
          <w:tcPr>
            <w:tcW w:w="1370" w:type="dxa"/>
          </w:tcPr>
          <w:p w14:paraId="17FA8696" w14:textId="77777777" w:rsidR="009106A3" w:rsidRPr="0058364E" w:rsidRDefault="009106A3" w:rsidP="005F1886">
            <w:pPr>
              <w:rPr>
                <w:lang w:val="en-US"/>
              </w:rPr>
            </w:pPr>
            <w:r w:rsidRPr="0058364E">
              <w:rPr>
                <w:lang w:val="en-US"/>
              </w:rPr>
              <w:t>1</w:t>
            </w:r>
          </w:p>
        </w:tc>
        <w:tc>
          <w:tcPr>
            <w:tcW w:w="1370" w:type="dxa"/>
          </w:tcPr>
          <w:p w14:paraId="0109E5D3" w14:textId="77777777" w:rsidR="009106A3" w:rsidRPr="0058364E" w:rsidRDefault="009106A3" w:rsidP="005F1886">
            <w:pPr>
              <w:rPr>
                <w:lang w:val="en-US"/>
              </w:rPr>
            </w:pPr>
            <w:r w:rsidRPr="0058364E">
              <w:rPr>
                <w:lang w:val="en-US"/>
              </w:rPr>
              <w:t>0</w:t>
            </w:r>
          </w:p>
        </w:tc>
        <w:tc>
          <w:tcPr>
            <w:tcW w:w="1371" w:type="dxa"/>
          </w:tcPr>
          <w:p w14:paraId="73C289C2" w14:textId="77777777" w:rsidR="009106A3" w:rsidRPr="0058364E" w:rsidRDefault="009106A3" w:rsidP="005F1886">
            <w:pPr>
              <w:rPr>
                <w:lang w:val="en-US"/>
              </w:rPr>
            </w:pPr>
            <w:r w:rsidRPr="0058364E">
              <w:rPr>
                <w:lang w:val="en-US"/>
              </w:rPr>
              <w:t>1</w:t>
            </w:r>
          </w:p>
        </w:tc>
        <w:tc>
          <w:tcPr>
            <w:tcW w:w="987" w:type="dxa"/>
            <w:vMerge/>
          </w:tcPr>
          <w:p w14:paraId="092BBF38" w14:textId="77777777" w:rsidR="009106A3" w:rsidRPr="0058364E" w:rsidRDefault="009106A3" w:rsidP="005F1886">
            <w:pPr>
              <w:rPr>
                <w:lang w:val="en-US"/>
              </w:rPr>
            </w:pPr>
          </w:p>
        </w:tc>
      </w:tr>
      <w:tr w:rsidR="009106A3" w:rsidRPr="0058364E" w14:paraId="7E4DD95E" w14:textId="77777777" w:rsidTr="005F1886">
        <w:trPr>
          <w:trHeight w:val="540"/>
        </w:trPr>
        <w:tc>
          <w:tcPr>
            <w:tcW w:w="1555" w:type="dxa"/>
            <w:vMerge w:val="restart"/>
          </w:tcPr>
          <w:p w14:paraId="15398957" w14:textId="77777777" w:rsidR="009106A3" w:rsidRPr="0058364E" w:rsidRDefault="009106A3" w:rsidP="005F1886">
            <w:pPr>
              <w:rPr>
                <w:lang w:val="en-US"/>
              </w:rPr>
            </w:pPr>
            <w:r w:rsidRPr="0058364E">
              <w:rPr>
                <w:lang w:val="en-US"/>
              </w:rPr>
              <w:t>Katz index of Independency in Activities of daily living</w:t>
            </w:r>
          </w:p>
        </w:tc>
        <w:tc>
          <w:tcPr>
            <w:tcW w:w="2409" w:type="dxa"/>
          </w:tcPr>
          <w:p w14:paraId="5B569629" w14:textId="77777777" w:rsidR="009106A3" w:rsidRPr="0058364E" w:rsidRDefault="009106A3" w:rsidP="005F1886">
            <w:pPr>
              <w:rPr>
                <w:lang w:val="en-US"/>
              </w:rPr>
            </w:pPr>
            <w:r w:rsidRPr="0058364E">
              <w:rPr>
                <w:lang w:val="en-US"/>
              </w:rPr>
              <w:t>O or A</w:t>
            </w:r>
          </w:p>
        </w:tc>
        <w:tc>
          <w:tcPr>
            <w:tcW w:w="1370" w:type="dxa"/>
          </w:tcPr>
          <w:p w14:paraId="23CB8EA5" w14:textId="77777777" w:rsidR="009106A3" w:rsidRPr="0058364E" w:rsidRDefault="009106A3" w:rsidP="005F1886">
            <w:pPr>
              <w:rPr>
                <w:lang w:val="en-US"/>
              </w:rPr>
            </w:pPr>
            <w:r w:rsidRPr="0058364E">
              <w:rPr>
                <w:lang w:val="en-US"/>
              </w:rPr>
              <w:t>47</w:t>
            </w:r>
          </w:p>
        </w:tc>
        <w:tc>
          <w:tcPr>
            <w:tcW w:w="1370" w:type="dxa"/>
          </w:tcPr>
          <w:p w14:paraId="532C0B0F" w14:textId="77777777" w:rsidR="009106A3" w:rsidRPr="0058364E" w:rsidRDefault="009106A3" w:rsidP="005F1886">
            <w:pPr>
              <w:rPr>
                <w:lang w:val="en-US"/>
              </w:rPr>
            </w:pPr>
            <w:r w:rsidRPr="0058364E">
              <w:rPr>
                <w:lang w:val="en-US"/>
              </w:rPr>
              <w:t>24</w:t>
            </w:r>
          </w:p>
        </w:tc>
        <w:tc>
          <w:tcPr>
            <w:tcW w:w="1371" w:type="dxa"/>
          </w:tcPr>
          <w:p w14:paraId="5BB1245A" w14:textId="77777777" w:rsidR="009106A3" w:rsidRPr="0058364E" w:rsidRDefault="009106A3" w:rsidP="005F1886">
            <w:pPr>
              <w:rPr>
                <w:lang w:val="en-US"/>
              </w:rPr>
            </w:pPr>
            <w:r w:rsidRPr="0058364E">
              <w:rPr>
                <w:lang w:val="en-US"/>
              </w:rPr>
              <w:t>23</w:t>
            </w:r>
          </w:p>
        </w:tc>
        <w:tc>
          <w:tcPr>
            <w:tcW w:w="987" w:type="dxa"/>
            <w:vMerge w:val="restart"/>
          </w:tcPr>
          <w:p w14:paraId="35CC6BBC" w14:textId="77777777" w:rsidR="009106A3" w:rsidRPr="0058364E" w:rsidRDefault="009106A3" w:rsidP="005F1886">
            <w:pPr>
              <w:rPr>
                <w:lang w:val="en-US"/>
              </w:rPr>
            </w:pPr>
            <w:r w:rsidRPr="0058364E">
              <w:rPr>
                <w:lang w:val="en-US"/>
              </w:rPr>
              <w:t>NS</w:t>
            </w:r>
          </w:p>
        </w:tc>
      </w:tr>
      <w:tr w:rsidR="009106A3" w:rsidRPr="0058364E" w14:paraId="2C58BC00" w14:textId="77777777" w:rsidTr="005F1886">
        <w:trPr>
          <w:trHeight w:val="540"/>
        </w:trPr>
        <w:tc>
          <w:tcPr>
            <w:tcW w:w="1555" w:type="dxa"/>
            <w:vMerge/>
          </w:tcPr>
          <w:p w14:paraId="0B98F5B2" w14:textId="77777777" w:rsidR="009106A3" w:rsidRPr="0058364E" w:rsidRDefault="009106A3" w:rsidP="005F1886">
            <w:pPr>
              <w:rPr>
                <w:lang w:val="en-US"/>
              </w:rPr>
            </w:pPr>
          </w:p>
        </w:tc>
        <w:tc>
          <w:tcPr>
            <w:tcW w:w="2409" w:type="dxa"/>
          </w:tcPr>
          <w:p w14:paraId="06165B99" w14:textId="77777777" w:rsidR="009106A3" w:rsidRPr="0058364E" w:rsidRDefault="009106A3" w:rsidP="005F1886">
            <w:pPr>
              <w:rPr>
                <w:lang w:val="en-US"/>
              </w:rPr>
            </w:pPr>
            <w:r w:rsidRPr="0058364E">
              <w:rPr>
                <w:lang w:val="en-US"/>
              </w:rPr>
              <w:t>B</w:t>
            </w:r>
          </w:p>
        </w:tc>
        <w:tc>
          <w:tcPr>
            <w:tcW w:w="1370" w:type="dxa"/>
          </w:tcPr>
          <w:p w14:paraId="22C4BD52" w14:textId="77777777" w:rsidR="009106A3" w:rsidRPr="0058364E" w:rsidRDefault="009106A3" w:rsidP="005F1886">
            <w:pPr>
              <w:rPr>
                <w:lang w:val="en-US"/>
              </w:rPr>
            </w:pPr>
            <w:r w:rsidRPr="0058364E">
              <w:rPr>
                <w:lang w:val="en-US"/>
              </w:rPr>
              <w:t>2</w:t>
            </w:r>
          </w:p>
        </w:tc>
        <w:tc>
          <w:tcPr>
            <w:tcW w:w="1370" w:type="dxa"/>
          </w:tcPr>
          <w:p w14:paraId="709FCA3A" w14:textId="77777777" w:rsidR="009106A3" w:rsidRPr="0058364E" w:rsidRDefault="009106A3" w:rsidP="005F1886">
            <w:pPr>
              <w:rPr>
                <w:lang w:val="en-US"/>
              </w:rPr>
            </w:pPr>
            <w:r w:rsidRPr="0058364E">
              <w:rPr>
                <w:lang w:val="en-US"/>
              </w:rPr>
              <w:t>1</w:t>
            </w:r>
          </w:p>
        </w:tc>
        <w:tc>
          <w:tcPr>
            <w:tcW w:w="1371" w:type="dxa"/>
          </w:tcPr>
          <w:p w14:paraId="3D1E124D" w14:textId="77777777" w:rsidR="009106A3" w:rsidRPr="0058364E" w:rsidRDefault="009106A3" w:rsidP="005F1886">
            <w:pPr>
              <w:rPr>
                <w:lang w:val="en-US"/>
              </w:rPr>
            </w:pPr>
            <w:r w:rsidRPr="0058364E">
              <w:rPr>
                <w:lang w:val="en-US"/>
              </w:rPr>
              <w:t>1</w:t>
            </w:r>
          </w:p>
        </w:tc>
        <w:tc>
          <w:tcPr>
            <w:tcW w:w="987" w:type="dxa"/>
            <w:vMerge/>
          </w:tcPr>
          <w:p w14:paraId="45B0D7EF" w14:textId="77777777" w:rsidR="009106A3" w:rsidRPr="0058364E" w:rsidRDefault="009106A3" w:rsidP="005F1886">
            <w:pPr>
              <w:rPr>
                <w:lang w:val="en-US"/>
              </w:rPr>
            </w:pPr>
          </w:p>
        </w:tc>
      </w:tr>
      <w:tr w:rsidR="009106A3" w:rsidRPr="0058364E" w14:paraId="333C0BD0" w14:textId="77777777" w:rsidTr="005F1886">
        <w:tc>
          <w:tcPr>
            <w:tcW w:w="3964" w:type="dxa"/>
            <w:gridSpan w:val="2"/>
          </w:tcPr>
          <w:p w14:paraId="63310D1C" w14:textId="77777777" w:rsidR="009106A3" w:rsidRPr="0058364E" w:rsidRDefault="009106A3" w:rsidP="005F1886">
            <w:pPr>
              <w:rPr>
                <w:lang w:val="en-US"/>
              </w:rPr>
            </w:pPr>
            <w:r w:rsidRPr="0058364E">
              <w:rPr>
                <w:lang w:val="en-US"/>
              </w:rPr>
              <w:t>Number of medications on day of inclusion</w:t>
            </w:r>
          </w:p>
        </w:tc>
        <w:tc>
          <w:tcPr>
            <w:tcW w:w="1370" w:type="dxa"/>
          </w:tcPr>
          <w:p w14:paraId="6BD0E574" w14:textId="77777777" w:rsidR="009106A3" w:rsidRPr="0058364E" w:rsidRDefault="009106A3" w:rsidP="005F1886">
            <w:pPr>
              <w:rPr>
                <w:lang w:val="en-US"/>
              </w:rPr>
            </w:pPr>
            <w:r w:rsidRPr="0058364E">
              <w:rPr>
                <w:lang w:val="en-US"/>
              </w:rPr>
              <w:t>7.4</w:t>
            </w:r>
          </w:p>
        </w:tc>
        <w:tc>
          <w:tcPr>
            <w:tcW w:w="1370" w:type="dxa"/>
          </w:tcPr>
          <w:p w14:paraId="47FF7DC3" w14:textId="77777777" w:rsidR="009106A3" w:rsidRPr="0058364E" w:rsidRDefault="009106A3" w:rsidP="005F1886">
            <w:pPr>
              <w:rPr>
                <w:lang w:val="en-US"/>
              </w:rPr>
            </w:pPr>
            <w:r w:rsidRPr="0058364E">
              <w:rPr>
                <w:lang w:val="en-US"/>
              </w:rPr>
              <w:t>7.4</w:t>
            </w:r>
          </w:p>
        </w:tc>
        <w:tc>
          <w:tcPr>
            <w:tcW w:w="1371" w:type="dxa"/>
          </w:tcPr>
          <w:p w14:paraId="2F888DF6" w14:textId="77777777" w:rsidR="009106A3" w:rsidRPr="0058364E" w:rsidRDefault="009106A3" w:rsidP="005F1886">
            <w:pPr>
              <w:rPr>
                <w:lang w:val="en-US"/>
              </w:rPr>
            </w:pPr>
            <w:r w:rsidRPr="0058364E">
              <w:rPr>
                <w:lang w:val="en-US"/>
              </w:rPr>
              <w:t>7.4</w:t>
            </w:r>
          </w:p>
        </w:tc>
        <w:tc>
          <w:tcPr>
            <w:tcW w:w="987" w:type="dxa"/>
          </w:tcPr>
          <w:p w14:paraId="24BAF454" w14:textId="77777777" w:rsidR="009106A3" w:rsidRPr="0058364E" w:rsidRDefault="009106A3" w:rsidP="005F1886">
            <w:pPr>
              <w:rPr>
                <w:lang w:val="en-US"/>
              </w:rPr>
            </w:pPr>
            <w:r w:rsidRPr="0058364E">
              <w:rPr>
                <w:lang w:val="en-US"/>
              </w:rPr>
              <w:t>NS</w:t>
            </w:r>
          </w:p>
        </w:tc>
      </w:tr>
      <w:tr w:rsidR="009106A3" w:rsidRPr="0058364E" w14:paraId="45446386" w14:textId="77777777" w:rsidTr="005F1886">
        <w:tc>
          <w:tcPr>
            <w:tcW w:w="3964" w:type="dxa"/>
            <w:gridSpan w:val="2"/>
          </w:tcPr>
          <w:p w14:paraId="219E077A" w14:textId="77777777" w:rsidR="009106A3" w:rsidRPr="0058364E" w:rsidRDefault="009106A3" w:rsidP="005F1886">
            <w:pPr>
              <w:rPr>
                <w:lang w:val="en-US"/>
              </w:rPr>
            </w:pPr>
            <w:r w:rsidRPr="0058364E">
              <w:rPr>
                <w:lang w:val="en-US"/>
              </w:rPr>
              <w:t>Mean NRS on day of inclusion</w:t>
            </w:r>
          </w:p>
        </w:tc>
        <w:tc>
          <w:tcPr>
            <w:tcW w:w="1370" w:type="dxa"/>
          </w:tcPr>
          <w:p w14:paraId="46918FCA" w14:textId="77777777" w:rsidR="009106A3" w:rsidRPr="0058364E" w:rsidRDefault="009106A3" w:rsidP="005F1886">
            <w:pPr>
              <w:rPr>
                <w:lang w:val="en-US"/>
              </w:rPr>
            </w:pPr>
            <w:r w:rsidRPr="0058364E">
              <w:rPr>
                <w:lang w:val="en-US"/>
              </w:rPr>
              <w:t>3.8</w:t>
            </w:r>
          </w:p>
        </w:tc>
        <w:tc>
          <w:tcPr>
            <w:tcW w:w="1370" w:type="dxa"/>
          </w:tcPr>
          <w:p w14:paraId="59460243" w14:textId="77777777" w:rsidR="009106A3" w:rsidRPr="0058364E" w:rsidRDefault="009106A3" w:rsidP="005F1886">
            <w:pPr>
              <w:rPr>
                <w:lang w:val="en-US"/>
              </w:rPr>
            </w:pPr>
            <w:r w:rsidRPr="0058364E">
              <w:rPr>
                <w:lang w:val="en-US"/>
              </w:rPr>
              <w:t>3.8</w:t>
            </w:r>
          </w:p>
        </w:tc>
        <w:tc>
          <w:tcPr>
            <w:tcW w:w="1371" w:type="dxa"/>
          </w:tcPr>
          <w:p w14:paraId="6DD1A1EC" w14:textId="77777777" w:rsidR="009106A3" w:rsidRPr="0058364E" w:rsidRDefault="009106A3" w:rsidP="005F1886">
            <w:pPr>
              <w:rPr>
                <w:lang w:val="en-US"/>
              </w:rPr>
            </w:pPr>
            <w:r w:rsidRPr="0058364E">
              <w:rPr>
                <w:lang w:val="en-US"/>
              </w:rPr>
              <w:t>3.8</w:t>
            </w:r>
          </w:p>
        </w:tc>
        <w:tc>
          <w:tcPr>
            <w:tcW w:w="987" w:type="dxa"/>
          </w:tcPr>
          <w:p w14:paraId="1E3DD5EB" w14:textId="77777777" w:rsidR="009106A3" w:rsidRPr="0058364E" w:rsidRDefault="009106A3" w:rsidP="005F1886">
            <w:pPr>
              <w:rPr>
                <w:lang w:val="en-US"/>
              </w:rPr>
            </w:pPr>
            <w:r w:rsidRPr="0058364E">
              <w:rPr>
                <w:lang w:val="en-US"/>
              </w:rPr>
              <w:t>NS</w:t>
            </w:r>
          </w:p>
        </w:tc>
      </w:tr>
      <w:tr w:rsidR="009106A3" w:rsidRPr="0058364E" w14:paraId="776CA846" w14:textId="77777777" w:rsidTr="005F1886">
        <w:trPr>
          <w:trHeight w:val="180"/>
        </w:trPr>
        <w:tc>
          <w:tcPr>
            <w:tcW w:w="1555" w:type="dxa"/>
            <w:vMerge w:val="restart"/>
          </w:tcPr>
          <w:p w14:paraId="6BAAECA2" w14:textId="77777777" w:rsidR="009106A3" w:rsidRPr="0058364E" w:rsidRDefault="009106A3" w:rsidP="005F1886">
            <w:pPr>
              <w:rPr>
                <w:lang w:val="en-US"/>
              </w:rPr>
            </w:pPr>
            <w:r w:rsidRPr="0058364E">
              <w:rPr>
                <w:lang w:val="en-US"/>
              </w:rPr>
              <w:t>Etiology of pain</w:t>
            </w:r>
          </w:p>
        </w:tc>
        <w:tc>
          <w:tcPr>
            <w:tcW w:w="2409" w:type="dxa"/>
          </w:tcPr>
          <w:p w14:paraId="174504B5" w14:textId="77777777" w:rsidR="009106A3" w:rsidRPr="0058364E" w:rsidRDefault="009106A3" w:rsidP="005F1886">
            <w:pPr>
              <w:rPr>
                <w:lang w:val="en-US"/>
              </w:rPr>
            </w:pPr>
            <w:r w:rsidRPr="0058364E">
              <w:rPr>
                <w:lang w:val="en-US"/>
              </w:rPr>
              <w:t xml:space="preserve">Fracture </w:t>
            </w:r>
          </w:p>
        </w:tc>
        <w:tc>
          <w:tcPr>
            <w:tcW w:w="1370" w:type="dxa"/>
          </w:tcPr>
          <w:p w14:paraId="4DD23EFD" w14:textId="77777777" w:rsidR="009106A3" w:rsidRPr="0058364E" w:rsidRDefault="009106A3" w:rsidP="005F1886">
            <w:pPr>
              <w:rPr>
                <w:lang w:val="en-US"/>
              </w:rPr>
            </w:pPr>
            <w:r w:rsidRPr="0058364E">
              <w:rPr>
                <w:lang w:val="en-US"/>
              </w:rPr>
              <w:t>38</w:t>
            </w:r>
          </w:p>
        </w:tc>
        <w:tc>
          <w:tcPr>
            <w:tcW w:w="1370" w:type="dxa"/>
          </w:tcPr>
          <w:p w14:paraId="15C74256" w14:textId="77777777" w:rsidR="009106A3" w:rsidRPr="0058364E" w:rsidRDefault="009106A3" w:rsidP="005F1886">
            <w:pPr>
              <w:rPr>
                <w:lang w:val="en-US"/>
              </w:rPr>
            </w:pPr>
            <w:r w:rsidRPr="0058364E">
              <w:rPr>
                <w:lang w:val="en-US"/>
              </w:rPr>
              <w:t>18</w:t>
            </w:r>
          </w:p>
        </w:tc>
        <w:tc>
          <w:tcPr>
            <w:tcW w:w="1371" w:type="dxa"/>
          </w:tcPr>
          <w:p w14:paraId="1848893A" w14:textId="77777777" w:rsidR="009106A3" w:rsidRPr="0058364E" w:rsidRDefault="009106A3" w:rsidP="005F1886">
            <w:pPr>
              <w:rPr>
                <w:lang w:val="en-US"/>
              </w:rPr>
            </w:pPr>
            <w:r w:rsidRPr="0058364E">
              <w:rPr>
                <w:lang w:val="en-US"/>
              </w:rPr>
              <w:t>20</w:t>
            </w:r>
          </w:p>
        </w:tc>
        <w:tc>
          <w:tcPr>
            <w:tcW w:w="987" w:type="dxa"/>
            <w:vMerge w:val="restart"/>
          </w:tcPr>
          <w:p w14:paraId="31C54173" w14:textId="77777777" w:rsidR="009106A3" w:rsidRPr="0058364E" w:rsidRDefault="009106A3" w:rsidP="005F1886">
            <w:pPr>
              <w:rPr>
                <w:lang w:val="en-US"/>
              </w:rPr>
            </w:pPr>
            <w:r w:rsidRPr="0058364E">
              <w:rPr>
                <w:lang w:val="en-US"/>
              </w:rPr>
              <w:t>NS</w:t>
            </w:r>
          </w:p>
        </w:tc>
      </w:tr>
      <w:tr w:rsidR="009106A3" w:rsidRPr="0058364E" w14:paraId="45CCC8DF" w14:textId="77777777" w:rsidTr="005F1886">
        <w:trPr>
          <w:trHeight w:val="180"/>
        </w:trPr>
        <w:tc>
          <w:tcPr>
            <w:tcW w:w="1555" w:type="dxa"/>
            <w:vMerge/>
          </w:tcPr>
          <w:p w14:paraId="1E807AEB" w14:textId="77777777" w:rsidR="009106A3" w:rsidRPr="0058364E" w:rsidRDefault="009106A3" w:rsidP="005F1886">
            <w:pPr>
              <w:rPr>
                <w:lang w:val="en-US"/>
              </w:rPr>
            </w:pPr>
          </w:p>
        </w:tc>
        <w:tc>
          <w:tcPr>
            <w:tcW w:w="2409" w:type="dxa"/>
          </w:tcPr>
          <w:p w14:paraId="41F85C04" w14:textId="77777777" w:rsidR="009106A3" w:rsidRPr="0058364E" w:rsidRDefault="009106A3" w:rsidP="005F1886">
            <w:pPr>
              <w:rPr>
                <w:lang w:val="en-US"/>
              </w:rPr>
            </w:pPr>
            <w:r w:rsidRPr="0058364E">
              <w:rPr>
                <w:lang w:val="en-US"/>
              </w:rPr>
              <w:t xml:space="preserve">Acute flare-up of known degenerative </w:t>
            </w:r>
            <w:proofErr w:type="spellStart"/>
            <w:r w:rsidRPr="0058364E">
              <w:rPr>
                <w:lang w:val="en-US"/>
              </w:rPr>
              <w:t>osteo</w:t>
            </w:r>
            <w:proofErr w:type="spellEnd"/>
            <w:r w:rsidRPr="0058364E">
              <w:rPr>
                <w:lang w:val="en-US"/>
              </w:rPr>
              <w:t>-arthritis</w:t>
            </w:r>
          </w:p>
        </w:tc>
        <w:tc>
          <w:tcPr>
            <w:tcW w:w="1370" w:type="dxa"/>
          </w:tcPr>
          <w:p w14:paraId="6FEEECB4" w14:textId="77777777" w:rsidR="009106A3" w:rsidRPr="0058364E" w:rsidRDefault="009106A3" w:rsidP="005F1886">
            <w:pPr>
              <w:rPr>
                <w:lang w:val="en-US"/>
              </w:rPr>
            </w:pPr>
            <w:r w:rsidRPr="0058364E">
              <w:rPr>
                <w:lang w:val="en-US"/>
              </w:rPr>
              <w:t>2</w:t>
            </w:r>
          </w:p>
        </w:tc>
        <w:tc>
          <w:tcPr>
            <w:tcW w:w="1370" w:type="dxa"/>
          </w:tcPr>
          <w:p w14:paraId="3BFB9AC5" w14:textId="77777777" w:rsidR="009106A3" w:rsidRPr="0058364E" w:rsidRDefault="009106A3" w:rsidP="005F1886">
            <w:pPr>
              <w:rPr>
                <w:lang w:val="en-US"/>
              </w:rPr>
            </w:pPr>
            <w:r w:rsidRPr="0058364E">
              <w:rPr>
                <w:lang w:val="en-US"/>
              </w:rPr>
              <w:t>1</w:t>
            </w:r>
          </w:p>
        </w:tc>
        <w:tc>
          <w:tcPr>
            <w:tcW w:w="1371" w:type="dxa"/>
          </w:tcPr>
          <w:p w14:paraId="3E6D4844" w14:textId="77777777" w:rsidR="009106A3" w:rsidRPr="0058364E" w:rsidRDefault="009106A3" w:rsidP="005F1886">
            <w:pPr>
              <w:rPr>
                <w:lang w:val="en-US"/>
              </w:rPr>
            </w:pPr>
            <w:r w:rsidRPr="0058364E">
              <w:rPr>
                <w:lang w:val="en-US"/>
              </w:rPr>
              <w:t>1</w:t>
            </w:r>
          </w:p>
        </w:tc>
        <w:tc>
          <w:tcPr>
            <w:tcW w:w="987" w:type="dxa"/>
            <w:vMerge/>
          </w:tcPr>
          <w:p w14:paraId="017A243C" w14:textId="77777777" w:rsidR="009106A3" w:rsidRPr="0058364E" w:rsidRDefault="009106A3" w:rsidP="005F1886">
            <w:pPr>
              <w:rPr>
                <w:lang w:val="en-US"/>
              </w:rPr>
            </w:pPr>
          </w:p>
        </w:tc>
      </w:tr>
      <w:tr w:rsidR="009106A3" w:rsidRPr="0058364E" w14:paraId="75AB7624" w14:textId="77777777" w:rsidTr="005F1886">
        <w:trPr>
          <w:trHeight w:val="180"/>
        </w:trPr>
        <w:tc>
          <w:tcPr>
            <w:tcW w:w="1555" w:type="dxa"/>
            <w:vMerge/>
          </w:tcPr>
          <w:p w14:paraId="5C42D9E5" w14:textId="77777777" w:rsidR="009106A3" w:rsidRPr="0058364E" w:rsidRDefault="009106A3" w:rsidP="005F1886">
            <w:pPr>
              <w:rPr>
                <w:lang w:val="en-US"/>
              </w:rPr>
            </w:pPr>
          </w:p>
        </w:tc>
        <w:tc>
          <w:tcPr>
            <w:tcW w:w="2409" w:type="dxa"/>
          </w:tcPr>
          <w:p w14:paraId="0BAE050E" w14:textId="77777777" w:rsidR="009106A3" w:rsidRPr="0058364E" w:rsidRDefault="009106A3" w:rsidP="005F1886">
            <w:pPr>
              <w:rPr>
                <w:lang w:val="en-US"/>
              </w:rPr>
            </w:pPr>
            <w:r w:rsidRPr="0058364E">
              <w:rPr>
                <w:lang w:val="en-US"/>
              </w:rPr>
              <w:t>Bruise or contusion</w:t>
            </w:r>
          </w:p>
        </w:tc>
        <w:tc>
          <w:tcPr>
            <w:tcW w:w="1370" w:type="dxa"/>
          </w:tcPr>
          <w:p w14:paraId="2E049BEA" w14:textId="77777777" w:rsidR="009106A3" w:rsidRPr="0058364E" w:rsidRDefault="009106A3" w:rsidP="005F1886">
            <w:pPr>
              <w:rPr>
                <w:lang w:val="en-US"/>
              </w:rPr>
            </w:pPr>
            <w:r w:rsidRPr="0058364E">
              <w:rPr>
                <w:lang w:val="en-US"/>
              </w:rPr>
              <w:t>9</w:t>
            </w:r>
          </w:p>
        </w:tc>
        <w:tc>
          <w:tcPr>
            <w:tcW w:w="1370" w:type="dxa"/>
          </w:tcPr>
          <w:p w14:paraId="01DE31D5" w14:textId="77777777" w:rsidR="009106A3" w:rsidRPr="0058364E" w:rsidRDefault="009106A3" w:rsidP="005F1886">
            <w:pPr>
              <w:rPr>
                <w:lang w:val="en-US"/>
              </w:rPr>
            </w:pPr>
            <w:r w:rsidRPr="0058364E">
              <w:rPr>
                <w:lang w:val="en-US"/>
              </w:rPr>
              <w:t>3</w:t>
            </w:r>
          </w:p>
        </w:tc>
        <w:tc>
          <w:tcPr>
            <w:tcW w:w="1371" w:type="dxa"/>
          </w:tcPr>
          <w:p w14:paraId="442A7958" w14:textId="77777777" w:rsidR="009106A3" w:rsidRPr="0058364E" w:rsidRDefault="009106A3" w:rsidP="005F1886">
            <w:pPr>
              <w:rPr>
                <w:lang w:val="en-US"/>
              </w:rPr>
            </w:pPr>
            <w:r w:rsidRPr="0058364E">
              <w:rPr>
                <w:lang w:val="en-US"/>
              </w:rPr>
              <w:t>9</w:t>
            </w:r>
          </w:p>
        </w:tc>
        <w:tc>
          <w:tcPr>
            <w:tcW w:w="987" w:type="dxa"/>
            <w:vMerge/>
          </w:tcPr>
          <w:p w14:paraId="2C7DEAF5" w14:textId="77777777" w:rsidR="009106A3" w:rsidRPr="0058364E" w:rsidRDefault="009106A3" w:rsidP="005F1886">
            <w:pPr>
              <w:rPr>
                <w:lang w:val="en-US"/>
              </w:rPr>
            </w:pPr>
          </w:p>
        </w:tc>
      </w:tr>
      <w:tr w:rsidR="009106A3" w:rsidRPr="0058364E" w14:paraId="73466E7B" w14:textId="77777777" w:rsidTr="005F1886">
        <w:trPr>
          <w:trHeight w:val="135"/>
        </w:trPr>
        <w:tc>
          <w:tcPr>
            <w:tcW w:w="1555" w:type="dxa"/>
            <w:vMerge w:val="restart"/>
          </w:tcPr>
          <w:p w14:paraId="4DE04BAC" w14:textId="77777777" w:rsidR="009106A3" w:rsidRPr="0058364E" w:rsidRDefault="009106A3" w:rsidP="005F1886">
            <w:pPr>
              <w:rPr>
                <w:lang w:val="en-US"/>
              </w:rPr>
            </w:pPr>
            <w:r w:rsidRPr="0058364E">
              <w:rPr>
                <w:lang w:val="en-US"/>
              </w:rPr>
              <w:t>Localization of pain</w:t>
            </w:r>
          </w:p>
        </w:tc>
        <w:tc>
          <w:tcPr>
            <w:tcW w:w="2409" w:type="dxa"/>
          </w:tcPr>
          <w:p w14:paraId="30C3E46B" w14:textId="77777777" w:rsidR="009106A3" w:rsidRPr="0058364E" w:rsidRDefault="009106A3" w:rsidP="005F1886">
            <w:pPr>
              <w:rPr>
                <w:lang w:val="en-US"/>
              </w:rPr>
            </w:pPr>
            <w:r w:rsidRPr="0058364E">
              <w:rPr>
                <w:lang w:val="en-US"/>
              </w:rPr>
              <w:t xml:space="preserve">Trunk </w:t>
            </w:r>
          </w:p>
        </w:tc>
        <w:tc>
          <w:tcPr>
            <w:tcW w:w="1370" w:type="dxa"/>
          </w:tcPr>
          <w:p w14:paraId="661EBC07" w14:textId="77777777" w:rsidR="009106A3" w:rsidRPr="0058364E" w:rsidRDefault="009106A3" w:rsidP="005F1886">
            <w:pPr>
              <w:rPr>
                <w:lang w:val="en-US"/>
              </w:rPr>
            </w:pPr>
            <w:r w:rsidRPr="0058364E">
              <w:rPr>
                <w:lang w:val="en-US"/>
              </w:rPr>
              <w:t>24</w:t>
            </w:r>
          </w:p>
        </w:tc>
        <w:tc>
          <w:tcPr>
            <w:tcW w:w="1370" w:type="dxa"/>
          </w:tcPr>
          <w:p w14:paraId="44204C9B" w14:textId="77777777" w:rsidR="009106A3" w:rsidRPr="0058364E" w:rsidRDefault="009106A3" w:rsidP="005F1886">
            <w:pPr>
              <w:rPr>
                <w:lang w:val="en-US"/>
              </w:rPr>
            </w:pPr>
            <w:r w:rsidRPr="0058364E">
              <w:rPr>
                <w:lang w:val="en-US"/>
              </w:rPr>
              <w:t>14</w:t>
            </w:r>
          </w:p>
        </w:tc>
        <w:tc>
          <w:tcPr>
            <w:tcW w:w="1371" w:type="dxa"/>
          </w:tcPr>
          <w:p w14:paraId="2627BE03" w14:textId="77777777" w:rsidR="009106A3" w:rsidRPr="0058364E" w:rsidRDefault="009106A3" w:rsidP="005F1886">
            <w:pPr>
              <w:rPr>
                <w:lang w:val="en-US"/>
              </w:rPr>
            </w:pPr>
            <w:r w:rsidRPr="0058364E">
              <w:rPr>
                <w:lang w:val="en-US"/>
              </w:rPr>
              <w:t>10</w:t>
            </w:r>
          </w:p>
        </w:tc>
        <w:tc>
          <w:tcPr>
            <w:tcW w:w="987" w:type="dxa"/>
            <w:vMerge w:val="restart"/>
          </w:tcPr>
          <w:p w14:paraId="5DB13B8D" w14:textId="77777777" w:rsidR="009106A3" w:rsidRPr="0058364E" w:rsidRDefault="009106A3" w:rsidP="005F1886">
            <w:pPr>
              <w:rPr>
                <w:lang w:val="en-US"/>
              </w:rPr>
            </w:pPr>
            <w:r w:rsidRPr="0058364E">
              <w:rPr>
                <w:lang w:val="en-US"/>
              </w:rPr>
              <w:t>NS</w:t>
            </w:r>
          </w:p>
        </w:tc>
      </w:tr>
      <w:tr w:rsidR="009106A3" w:rsidRPr="0058364E" w14:paraId="3D15C575" w14:textId="77777777" w:rsidTr="005F1886">
        <w:trPr>
          <w:trHeight w:val="135"/>
        </w:trPr>
        <w:tc>
          <w:tcPr>
            <w:tcW w:w="1555" w:type="dxa"/>
            <w:vMerge/>
          </w:tcPr>
          <w:p w14:paraId="700951DA" w14:textId="77777777" w:rsidR="009106A3" w:rsidRPr="0058364E" w:rsidRDefault="009106A3" w:rsidP="005F1886">
            <w:pPr>
              <w:rPr>
                <w:lang w:val="en-US"/>
              </w:rPr>
            </w:pPr>
          </w:p>
        </w:tc>
        <w:tc>
          <w:tcPr>
            <w:tcW w:w="2409" w:type="dxa"/>
          </w:tcPr>
          <w:p w14:paraId="30960B10" w14:textId="77777777" w:rsidR="009106A3" w:rsidRPr="0058364E" w:rsidRDefault="009106A3" w:rsidP="005F1886">
            <w:pPr>
              <w:rPr>
                <w:lang w:val="en-US"/>
              </w:rPr>
            </w:pPr>
            <w:r w:rsidRPr="0058364E">
              <w:rPr>
                <w:lang w:val="en-US"/>
              </w:rPr>
              <w:t>Lower limbs</w:t>
            </w:r>
          </w:p>
        </w:tc>
        <w:tc>
          <w:tcPr>
            <w:tcW w:w="1370" w:type="dxa"/>
          </w:tcPr>
          <w:p w14:paraId="073329D3" w14:textId="77777777" w:rsidR="009106A3" w:rsidRPr="0058364E" w:rsidRDefault="009106A3" w:rsidP="005F1886">
            <w:pPr>
              <w:rPr>
                <w:lang w:val="en-US"/>
              </w:rPr>
            </w:pPr>
            <w:r w:rsidRPr="0058364E">
              <w:rPr>
                <w:lang w:val="en-US"/>
              </w:rPr>
              <w:t>18</w:t>
            </w:r>
          </w:p>
        </w:tc>
        <w:tc>
          <w:tcPr>
            <w:tcW w:w="1370" w:type="dxa"/>
          </w:tcPr>
          <w:p w14:paraId="50D8424B" w14:textId="77777777" w:rsidR="009106A3" w:rsidRPr="0058364E" w:rsidRDefault="009106A3" w:rsidP="005F1886">
            <w:pPr>
              <w:rPr>
                <w:lang w:val="en-US"/>
              </w:rPr>
            </w:pPr>
            <w:r w:rsidRPr="0058364E">
              <w:rPr>
                <w:lang w:val="en-US"/>
              </w:rPr>
              <w:t>9</w:t>
            </w:r>
          </w:p>
        </w:tc>
        <w:tc>
          <w:tcPr>
            <w:tcW w:w="1371" w:type="dxa"/>
          </w:tcPr>
          <w:p w14:paraId="13740B65" w14:textId="77777777" w:rsidR="009106A3" w:rsidRPr="0058364E" w:rsidRDefault="009106A3" w:rsidP="005F1886">
            <w:pPr>
              <w:rPr>
                <w:lang w:val="en-US"/>
              </w:rPr>
            </w:pPr>
            <w:r w:rsidRPr="0058364E">
              <w:rPr>
                <w:lang w:val="en-US"/>
              </w:rPr>
              <w:t>9</w:t>
            </w:r>
          </w:p>
        </w:tc>
        <w:tc>
          <w:tcPr>
            <w:tcW w:w="987" w:type="dxa"/>
            <w:vMerge/>
          </w:tcPr>
          <w:p w14:paraId="65E5D47E" w14:textId="77777777" w:rsidR="009106A3" w:rsidRPr="0058364E" w:rsidRDefault="009106A3" w:rsidP="005F1886">
            <w:pPr>
              <w:rPr>
                <w:lang w:val="en-US"/>
              </w:rPr>
            </w:pPr>
          </w:p>
        </w:tc>
      </w:tr>
      <w:tr w:rsidR="009106A3" w:rsidRPr="0058364E" w14:paraId="6BB9A8B1" w14:textId="77777777" w:rsidTr="005F1886">
        <w:trPr>
          <w:trHeight w:val="135"/>
        </w:trPr>
        <w:tc>
          <w:tcPr>
            <w:tcW w:w="1555" w:type="dxa"/>
            <w:vMerge/>
          </w:tcPr>
          <w:p w14:paraId="0744F1A0" w14:textId="77777777" w:rsidR="009106A3" w:rsidRPr="0058364E" w:rsidRDefault="009106A3" w:rsidP="005F1886">
            <w:pPr>
              <w:rPr>
                <w:lang w:val="en-US"/>
              </w:rPr>
            </w:pPr>
          </w:p>
        </w:tc>
        <w:tc>
          <w:tcPr>
            <w:tcW w:w="2409" w:type="dxa"/>
          </w:tcPr>
          <w:p w14:paraId="7AF62B9D" w14:textId="77777777" w:rsidR="009106A3" w:rsidRPr="0058364E" w:rsidRDefault="009106A3" w:rsidP="005F1886">
            <w:pPr>
              <w:rPr>
                <w:lang w:val="en-US"/>
              </w:rPr>
            </w:pPr>
            <w:r w:rsidRPr="0058364E">
              <w:rPr>
                <w:lang w:val="en-US"/>
              </w:rPr>
              <w:t>Upper limbs</w:t>
            </w:r>
          </w:p>
        </w:tc>
        <w:tc>
          <w:tcPr>
            <w:tcW w:w="1370" w:type="dxa"/>
          </w:tcPr>
          <w:p w14:paraId="50F4117B" w14:textId="77777777" w:rsidR="009106A3" w:rsidRPr="0058364E" w:rsidRDefault="009106A3" w:rsidP="005F1886">
            <w:pPr>
              <w:rPr>
                <w:lang w:val="en-US"/>
              </w:rPr>
            </w:pPr>
            <w:r w:rsidRPr="0058364E">
              <w:rPr>
                <w:lang w:val="en-US"/>
              </w:rPr>
              <w:t>5</w:t>
            </w:r>
          </w:p>
        </w:tc>
        <w:tc>
          <w:tcPr>
            <w:tcW w:w="1370" w:type="dxa"/>
          </w:tcPr>
          <w:p w14:paraId="3E4F87CE" w14:textId="77777777" w:rsidR="009106A3" w:rsidRPr="0058364E" w:rsidRDefault="009106A3" w:rsidP="005F1886">
            <w:pPr>
              <w:rPr>
                <w:lang w:val="en-US"/>
              </w:rPr>
            </w:pPr>
            <w:r w:rsidRPr="0058364E">
              <w:rPr>
                <w:lang w:val="en-US"/>
              </w:rPr>
              <w:t>1</w:t>
            </w:r>
          </w:p>
        </w:tc>
        <w:tc>
          <w:tcPr>
            <w:tcW w:w="1371" w:type="dxa"/>
          </w:tcPr>
          <w:p w14:paraId="0C19C7CD" w14:textId="77777777" w:rsidR="009106A3" w:rsidRPr="0058364E" w:rsidRDefault="009106A3" w:rsidP="005F1886">
            <w:pPr>
              <w:rPr>
                <w:lang w:val="en-US"/>
              </w:rPr>
            </w:pPr>
            <w:r w:rsidRPr="0058364E">
              <w:rPr>
                <w:lang w:val="en-US"/>
              </w:rPr>
              <w:t>4</w:t>
            </w:r>
          </w:p>
        </w:tc>
        <w:tc>
          <w:tcPr>
            <w:tcW w:w="987" w:type="dxa"/>
            <w:vMerge/>
          </w:tcPr>
          <w:p w14:paraId="5412AE68" w14:textId="77777777" w:rsidR="009106A3" w:rsidRPr="0058364E" w:rsidRDefault="009106A3" w:rsidP="005F1886">
            <w:pPr>
              <w:rPr>
                <w:lang w:val="en-US"/>
              </w:rPr>
            </w:pPr>
          </w:p>
        </w:tc>
      </w:tr>
      <w:tr w:rsidR="009106A3" w:rsidRPr="0058364E" w14:paraId="7CF63317" w14:textId="77777777" w:rsidTr="005F1886">
        <w:trPr>
          <w:trHeight w:val="135"/>
        </w:trPr>
        <w:tc>
          <w:tcPr>
            <w:tcW w:w="1555" w:type="dxa"/>
            <w:vMerge/>
          </w:tcPr>
          <w:p w14:paraId="4C897121" w14:textId="77777777" w:rsidR="009106A3" w:rsidRPr="0058364E" w:rsidRDefault="009106A3" w:rsidP="005F1886">
            <w:pPr>
              <w:rPr>
                <w:lang w:val="en-US"/>
              </w:rPr>
            </w:pPr>
          </w:p>
        </w:tc>
        <w:tc>
          <w:tcPr>
            <w:tcW w:w="2409" w:type="dxa"/>
          </w:tcPr>
          <w:p w14:paraId="4FC5EF4E" w14:textId="77777777" w:rsidR="009106A3" w:rsidRPr="0058364E" w:rsidRDefault="009106A3" w:rsidP="005F1886">
            <w:pPr>
              <w:rPr>
                <w:lang w:val="en-US"/>
              </w:rPr>
            </w:pPr>
            <w:r w:rsidRPr="0058364E">
              <w:rPr>
                <w:lang w:val="en-US"/>
              </w:rPr>
              <w:t>Multiple locations</w:t>
            </w:r>
          </w:p>
        </w:tc>
        <w:tc>
          <w:tcPr>
            <w:tcW w:w="1370" w:type="dxa"/>
          </w:tcPr>
          <w:p w14:paraId="777A67E3" w14:textId="77777777" w:rsidR="009106A3" w:rsidRPr="0058364E" w:rsidRDefault="009106A3" w:rsidP="005F1886">
            <w:pPr>
              <w:rPr>
                <w:lang w:val="en-US"/>
              </w:rPr>
            </w:pPr>
            <w:r w:rsidRPr="0058364E">
              <w:rPr>
                <w:lang w:val="en-US"/>
              </w:rPr>
              <w:t>2</w:t>
            </w:r>
          </w:p>
        </w:tc>
        <w:tc>
          <w:tcPr>
            <w:tcW w:w="1370" w:type="dxa"/>
          </w:tcPr>
          <w:p w14:paraId="2DF06687" w14:textId="77777777" w:rsidR="009106A3" w:rsidRPr="0058364E" w:rsidRDefault="009106A3" w:rsidP="005F1886">
            <w:pPr>
              <w:rPr>
                <w:lang w:val="en-US"/>
              </w:rPr>
            </w:pPr>
            <w:r w:rsidRPr="0058364E">
              <w:rPr>
                <w:lang w:val="en-US"/>
              </w:rPr>
              <w:t>1</w:t>
            </w:r>
          </w:p>
        </w:tc>
        <w:tc>
          <w:tcPr>
            <w:tcW w:w="1371" w:type="dxa"/>
          </w:tcPr>
          <w:p w14:paraId="7A9A14A4" w14:textId="77777777" w:rsidR="009106A3" w:rsidRPr="0058364E" w:rsidRDefault="009106A3" w:rsidP="005F1886">
            <w:pPr>
              <w:rPr>
                <w:lang w:val="en-US"/>
              </w:rPr>
            </w:pPr>
            <w:r w:rsidRPr="0058364E">
              <w:rPr>
                <w:lang w:val="en-US"/>
              </w:rPr>
              <w:t>1</w:t>
            </w:r>
          </w:p>
        </w:tc>
        <w:tc>
          <w:tcPr>
            <w:tcW w:w="987" w:type="dxa"/>
            <w:vMerge/>
          </w:tcPr>
          <w:p w14:paraId="0416E259" w14:textId="77777777" w:rsidR="009106A3" w:rsidRPr="0058364E" w:rsidRDefault="009106A3" w:rsidP="005F1886">
            <w:pPr>
              <w:rPr>
                <w:lang w:val="en-US"/>
              </w:rPr>
            </w:pPr>
          </w:p>
        </w:tc>
      </w:tr>
    </w:tbl>
    <w:p w14:paraId="0C12F37E" w14:textId="77777777" w:rsidR="009106A3" w:rsidRPr="0058364E" w:rsidRDefault="009106A3" w:rsidP="009106A3">
      <w:pPr>
        <w:spacing w:line="360" w:lineRule="auto"/>
        <w:rPr>
          <w:lang w:val="en-US"/>
        </w:rPr>
      </w:pPr>
      <w:r w:rsidRPr="0058364E">
        <w:rPr>
          <w:lang w:val="en-US"/>
        </w:rPr>
        <w:t>NS = statistically not significant</w:t>
      </w:r>
    </w:p>
    <w:p w14:paraId="74AC2A8F" w14:textId="77777777" w:rsidR="009106A3" w:rsidRPr="0058364E" w:rsidRDefault="009106A3" w:rsidP="00552BA3">
      <w:pPr>
        <w:rPr>
          <w:lang w:val="en-US"/>
        </w:rPr>
      </w:pPr>
    </w:p>
    <w:p w14:paraId="3F720DC5" w14:textId="77777777" w:rsidR="009106A3" w:rsidRDefault="009106A3" w:rsidP="00552BA3"/>
    <w:p w14:paraId="158715A3" w14:textId="77777777" w:rsidR="009106A3" w:rsidRDefault="009106A3" w:rsidP="00552BA3"/>
    <w:p w14:paraId="7A55C43C" w14:textId="77777777" w:rsidR="009106A3" w:rsidRDefault="009106A3" w:rsidP="00552BA3"/>
    <w:p w14:paraId="47563093" w14:textId="77777777" w:rsidR="009106A3" w:rsidRDefault="009106A3" w:rsidP="00552BA3"/>
    <w:p w14:paraId="50925E21" w14:textId="77777777" w:rsidR="009106A3" w:rsidRDefault="009106A3" w:rsidP="00552BA3"/>
    <w:p w14:paraId="1A31F2F4" w14:textId="77777777" w:rsidR="009106A3" w:rsidRDefault="009106A3" w:rsidP="00552BA3"/>
    <w:p w14:paraId="094241C0" w14:textId="77777777" w:rsidR="009106A3" w:rsidRDefault="009106A3" w:rsidP="00552BA3"/>
    <w:p w14:paraId="4DE124B0" w14:textId="77777777" w:rsidR="009106A3" w:rsidRDefault="009106A3" w:rsidP="00552BA3"/>
    <w:p w14:paraId="514947C8" w14:textId="77777777" w:rsidR="009106A3" w:rsidRDefault="009106A3" w:rsidP="00552BA3"/>
    <w:p w14:paraId="0353A751" w14:textId="77777777" w:rsidR="009106A3" w:rsidRDefault="009106A3" w:rsidP="00552BA3"/>
    <w:p w14:paraId="3B4671DE" w14:textId="77777777" w:rsidR="009106A3" w:rsidRDefault="009106A3" w:rsidP="00552BA3"/>
    <w:p w14:paraId="188B2845" w14:textId="77777777" w:rsidR="009106A3" w:rsidRDefault="009106A3" w:rsidP="00552BA3"/>
    <w:p w14:paraId="2D94A8A6" w14:textId="77777777" w:rsidR="009106A3" w:rsidRDefault="009106A3" w:rsidP="00552BA3"/>
    <w:p w14:paraId="6F8540C1" w14:textId="77777777" w:rsidR="009106A3" w:rsidRPr="009616F1" w:rsidRDefault="009106A3" w:rsidP="009106A3">
      <w:pPr>
        <w:pStyle w:val="Normaalweb"/>
        <w:spacing w:line="360" w:lineRule="auto"/>
        <w:rPr>
          <w:rFonts w:asciiTheme="minorHAnsi" w:hAnsiTheme="minorHAnsi" w:cstheme="minorHAnsi"/>
          <w:i/>
          <w:color w:val="000000"/>
          <w:sz w:val="22"/>
          <w:szCs w:val="22"/>
          <w:lang w:val="en-US"/>
        </w:rPr>
      </w:pPr>
      <w:r>
        <w:rPr>
          <w:rFonts w:asciiTheme="minorHAnsi" w:hAnsiTheme="minorHAnsi" w:cstheme="minorHAnsi"/>
          <w:b/>
          <w:i/>
          <w:color w:val="000000"/>
          <w:sz w:val="22"/>
          <w:szCs w:val="22"/>
          <w:lang w:val="en-US"/>
        </w:rPr>
        <w:t xml:space="preserve">Table 2: Prevalence of side effects  </w:t>
      </w:r>
    </w:p>
    <w:tbl>
      <w:tblPr>
        <w:tblStyle w:val="Tabelraster"/>
        <w:tblW w:w="0" w:type="auto"/>
        <w:tblLook w:val="04A0" w:firstRow="1" w:lastRow="0" w:firstColumn="1" w:lastColumn="0" w:noHBand="0" w:noVBand="1"/>
      </w:tblPr>
      <w:tblGrid>
        <w:gridCol w:w="3114"/>
        <w:gridCol w:w="1511"/>
        <w:gridCol w:w="1749"/>
        <w:gridCol w:w="1701"/>
        <w:gridCol w:w="987"/>
      </w:tblGrid>
      <w:tr w:rsidR="009106A3" w14:paraId="5523BB84" w14:textId="77777777" w:rsidTr="005F1886">
        <w:tc>
          <w:tcPr>
            <w:tcW w:w="3114" w:type="dxa"/>
          </w:tcPr>
          <w:p w14:paraId="66121C21" w14:textId="77777777" w:rsidR="009106A3" w:rsidRDefault="009106A3" w:rsidP="005F1886">
            <w:pPr>
              <w:pStyle w:val="Normaalweb"/>
              <w:spacing w:line="360" w:lineRule="auto"/>
              <w:rPr>
                <w:rFonts w:asciiTheme="minorHAnsi" w:hAnsiTheme="minorHAnsi" w:cstheme="minorHAnsi"/>
                <w:color w:val="000000"/>
                <w:sz w:val="22"/>
                <w:szCs w:val="22"/>
                <w:lang w:val="en-US"/>
              </w:rPr>
            </w:pPr>
          </w:p>
        </w:tc>
        <w:tc>
          <w:tcPr>
            <w:tcW w:w="1511" w:type="dxa"/>
          </w:tcPr>
          <w:p w14:paraId="5FCE0D1B" w14:textId="77777777" w:rsidR="009106A3" w:rsidRDefault="009106A3" w:rsidP="005F1886">
            <w:pPr>
              <w:pStyle w:val="Normaalweb"/>
              <w:spacing w:line="360" w:lineRule="auto"/>
              <w:jc w:val="center"/>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All patients           (n = 49)</w:t>
            </w:r>
          </w:p>
        </w:tc>
        <w:tc>
          <w:tcPr>
            <w:tcW w:w="1749" w:type="dxa"/>
          </w:tcPr>
          <w:p w14:paraId="7ED9ACF5" w14:textId="77777777" w:rsidR="009106A3" w:rsidRDefault="009106A3" w:rsidP="005F1886">
            <w:pPr>
              <w:pStyle w:val="Normaalweb"/>
              <w:spacing w:line="360" w:lineRule="auto"/>
              <w:jc w:val="center"/>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Tramadol group   (n = 25)</w:t>
            </w:r>
          </w:p>
        </w:tc>
        <w:tc>
          <w:tcPr>
            <w:tcW w:w="1701" w:type="dxa"/>
          </w:tcPr>
          <w:p w14:paraId="7FCD1F46" w14:textId="26B30101" w:rsidR="009106A3" w:rsidRDefault="009106A3" w:rsidP="005F1886">
            <w:pPr>
              <w:pStyle w:val="Normaalweb"/>
              <w:spacing w:line="360" w:lineRule="auto"/>
              <w:jc w:val="center"/>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Oxycodon</w:t>
            </w:r>
            <w:r w:rsidR="0058364E">
              <w:rPr>
                <w:rFonts w:asciiTheme="minorHAnsi" w:hAnsiTheme="minorHAnsi" w:cstheme="minorHAnsi"/>
                <w:color w:val="000000"/>
                <w:sz w:val="22"/>
                <w:szCs w:val="22"/>
                <w:lang w:val="en-US"/>
              </w:rPr>
              <w:t>e</w:t>
            </w:r>
            <w:r>
              <w:rPr>
                <w:rFonts w:asciiTheme="minorHAnsi" w:hAnsiTheme="minorHAnsi" w:cstheme="minorHAnsi"/>
                <w:color w:val="000000"/>
                <w:sz w:val="22"/>
                <w:szCs w:val="22"/>
                <w:lang w:val="en-US"/>
              </w:rPr>
              <w:t xml:space="preserve"> group (n = 24)</w:t>
            </w:r>
          </w:p>
        </w:tc>
        <w:tc>
          <w:tcPr>
            <w:tcW w:w="987" w:type="dxa"/>
          </w:tcPr>
          <w:p w14:paraId="7B35AC66" w14:textId="77777777" w:rsidR="009106A3" w:rsidRDefault="009106A3" w:rsidP="005F1886">
            <w:pPr>
              <w:pStyle w:val="Normaalweb"/>
              <w:spacing w:line="360" w:lineRule="auto"/>
              <w:jc w:val="center"/>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p-value</w:t>
            </w:r>
          </w:p>
        </w:tc>
      </w:tr>
      <w:tr w:rsidR="009106A3" w14:paraId="67BD9A84" w14:textId="77777777" w:rsidTr="005F1886">
        <w:tc>
          <w:tcPr>
            <w:tcW w:w="3114" w:type="dxa"/>
          </w:tcPr>
          <w:p w14:paraId="56DD9789" w14:textId="77777777" w:rsidR="009106A3" w:rsidRDefault="009106A3" w:rsidP="005F1886">
            <w:pPr>
              <w:pStyle w:val="Normaalweb"/>
              <w:spacing w:line="360" w:lineRule="auto"/>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 xml:space="preserve">Nausea – all </w:t>
            </w:r>
          </w:p>
        </w:tc>
        <w:tc>
          <w:tcPr>
            <w:tcW w:w="1511" w:type="dxa"/>
          </w:tcPr>
          <w:p w14:paraId="0E0B41C8" w14:textId="77777777" w:rsidR="009106A3" w:rsidRDefault="009106A3" w:rsidP="005F1886">
            <w:pPr>
              <w:pStyle w:val="Normaalweb"/>
              <w:spacing w:line="360" w:lineRule="auto"/>
              <w:jc w:val="center"/>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15 (31%)</w:t>
            </w:r>
          </w:p>
        </w:tc>
        <w:tc>
          <w:tcPr>
            <w:tcW w:w="1749" w:type="dxa"/>
          </w:tcPr>
          <w:p w14:paraId="60E7556B" w14:textId="77777777" w:rsidR="009106A3" w:rsidRDefault="009106A3" w:rsidP="005F1886">
            <w:pPr>
              <w:pStyle w:val="Normaalweb"/>
              <w:spacing w:line="360" w:lineRule="auto"/>
              <w:jc w:val="center"/>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12 (46%)</w:t>
            </w:r>
          </w:p>
        </w:tc>
        <w:tc>
          <w:tcPr>
            <w:tcW w:w="1701" w:type="dxa"/>
          </w:tcPr>
          <w:p w14:paraId="25C4D9D1" w14:textId="77777777" w:rsidR="009106A3" w:rsidRDefault="009106A3" w:rsidP="005F1886">
            <w:pPr>
              <w:pStyle w:val="Normaalweb"/>
              <w:spacing w:line="360" w:lineRule="auto"/>
              <w:jc w:val="center"/>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3 (13%)</w:t>
            </w:r>
          </w:p>
        </w:tc>
        <w:tc>
          <w:tcPr>
            <w:tcW w:w="987" w:type="dxa"/>
          </w:tcPr>
          <w:p w14:paraId="0BE4E8A4" w14:textId="77777777" w:rsidR="009106A3" w:rsidRDefault="009106A3" w:rsidP="005F1886">
            <w:pPr>
              <w:pStyle w:val="Normaalweb"/>
              <w:spacing w:line="360" w:lineRule="auto"/>
              <w:jc w:val="center"/>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0.011</w:t>
            </w:r>
          </w:p>
        </w:tc>
      </w:tr>
      <w:tr w:rsidR="009106A3" w14:paraId="61DC9864" w14:textId="77777777" w:rsidTr="005F1886">
        <w:tc>
          <w:tcPr>
            <w:tcW w:w="3114" w:type="dxa"/>
          </w:tcPr>
          <w:p w14:paraId="6FDDA9F8" w14:textId="77777777" w:rsidR="009106A3" w:rsidRDefault="009106A3" w:rsidP="005F1886">
            <w:pPr>
              <w:pStyle w:val="Normaalweb"/>
              <w:spacing w:line="360" w:lineRule="auto"/>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Nausea – treatment (a)</w:t>
            </w:r>
          </w:p>
        </w:tc>
        <w:tc>
          <w:tcPr>
            <w:tcW w:w="1511" w:type="dxa"/>
          </w:tcPr>
          <w:p w14:paraId="25CE7E24" w14:textId="77777777" w:rsidR="009106A3" w:rsidRDefault="009106A3" w:rsidP="005F1886">
            <w:pPr>
              <w:pStyle w:val="Normaalweb"/>
              <w:spacing w:line="360" w:lineRule="auto"/>
              <w:jc w:val="center"/>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7 (14%)</w:t>
            </w:r>
          </w:p>
        </w:tc>
        <w:tc>
          <w:tcPr>
            <w:tcW w:w="1749" w:type="dxa"/>
          </w:tcPr>
          <w:p w14:paraId="7DC9E60B" w14:textId="77777777" w:rsidR="009106A3" w:rsidRDefault="009106A3" w:rsidP="005F1886">
            <w:pPr>
              <w:pStyle w:val="Normaalweb"/>
              <w:spacing w:line="360" w:lineRule="auto"/>
              <w:jc w:val="center"/>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5 (21%)</w:t>
            </w:r>
          </w:p>
        </w:tc>
        <w:tc>
          <w:tcPr>
            <w:tcW w:w="1701" w:type="dxa"/>
          </w:tcPr>
          <w:p w14:paraId="458B3253" w14:textId="77777777" w:rsidR="009106A3" w:rsidRDefault="009106A3" w:rsidP="005F1886">
            <w:pPr>
              <w:pStyle w:val="Normaalweb"/>
              <w:spacing w:line="360" w:lineRule="auto"/>
              <w:jc w:val="center"/>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2 (8%)</w:t>
            </w:r>
          </w:p>
        </w:tc>
        <w:tc>
          <w:tcPr>
            <w:tcW w:w="987" w:type="dxa"/>
          </w:tcPr>
          <w:p w14:paraId="08167D96" w14:textId="77777777" w:rsidR="009106A3" w:rsidRDefault="009106A3" w:rsidP="005F1886">
            <w:pPr>
              <w:pStyle w:val="Normaalweb"/>
              <w:spacing w:line="360" w:lineRule="auto"/>
              <w:jc w:val="center"/>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0.220</w:t>
            </w:r>
          </w:p>
        </w:tc>
      </w:tr>
      <w:tr w:rsidR="009106A3" w14:paraId="26698967" w14:textId="77777777" w:rsidTr="005F1886">
        <w:tc>
          <w:tcPr>
            <w:tcW w:w="3114" w:type="dxa"/>
          </w:tcPr>
          <w:p w14:paraId="66CF174E" w14:textId="77777777" w:rsidR="009106A3" w:rsidRDefault="009106A3" w:rsidP="005F1886">
            <w:pPr>
              <w:pStyle w:val="Normaalweb"/>
              <w:spacing w:line="360" w:lineRule="auto"/>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Urinary retention</w:t>
            </w:r>
          </w:p>
        </w:tc>
        <w:tc>
          <w:tcPr>
            <w:tcW w:w="1511" w:type="dxa"/>
          </w:tcPr>
          <w:p w14:paraId="31BE0984" w14:textId="77777777" w:rsidR="009106A3" w:rsidRDefault="009106A3" w:rsidP="005F1886">
            <w:pPr>
              <w:pStyle w:val="Normaalweb"/>
              <w:spacing w:line="360" w:lineRule="auto"/>
              <w:jc w:val="center"/>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4 (8%)</w:t>
            </w:r>
          </w:p>
        </w:tc>
        <w:tc>
          <w:tcPr>
            <w:tcW w:w="1749" w:type="dxa"/>
          </w:tcPr>
          <w:p w14:paraId="627FE24B" w14:textId="77777777" w:rsidR="009106A3" w:rsidRDefault="009106A3" w:rsidP="005F1886">
            <w:pPr>
              <w:pStyle w:val="Normaalweb"/>
              <w:spacing w:line="360" w:lineRule="auto"/>
              <w:jc w:val="center"/>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3 (13%)</w:t>
            </w:r>
          </w:p>
        </w:tc>
        <w:tc>
          <w:tcPr>
            <w:tcW w:w="1701" w:type="dxa"/>
          </w:tcPr>
          <w:p w14:paraId="5F19532D" w14:textId="77777777" w:rsidR="009106A3" w:rsidRDefault="009106A3" w:rsidP="005F1886">
            <w:pPr>
              <w:pStyle w:val="Normaalweb"/>
              <w:spacing w:line="360" w:lineRule="auto"/>
              <w:jc w:val="center"/>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1 (4%)</w:t>
            </w:r>
          </w:p>
        </w:tc>
        <w:tc>
          <w:tcPr>
            <w:tcW w:w="987" w:type="dxa"/>
          </w:tcPr>
          <w:p w14:paraId="6998CFD2" w14:textId="77777777" w:rsidR="009106A3" w:rsidRDefault="009106A3" w:rsidP="005F1886">
            <w:pPr>
              <w:pStyle w:val="Normaalweb"/>
              <w:spacing w:line="360" w:lineRule="auto"/>
              <w:jc w:val="center"/>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0.296</w:t>
            </w:r>
          </w:p>
        </w:tc>
      </w:tr>
      <w:tr w:rsidR="009106A3" w14:paraId="74560B29" w14:textId="77777777" w:rsidTr="005F1886">
        <w:tc>
          <w:tcPr>
            <w:tcW w:w="3114" w:type="dxa"/>
          </w:tcPr>
          <w:p w14:paraId="39C8ED4A" w14:textId="77777777" w:rsidR="009106A3" w:rsidRDefault="009106A3" w:rsidP="005F1886">
            <w:pPr>
              <w:pStyle w:val="Normaalweb"/>
              <w:spacing w:line="360" w:lineRule="auto"/>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Constipation (b)</w:t>
            </w:r>
          </w:p>
        </w:tc>
        <w:tc>
          <w:tcPr>
            <w:tcW w:w="1511" w:type="dxa"/>
          </w:tcPr>
          <w:p w14:paraId="6C44048D" w14:textId="77777777" w:rsidR="009106A3" w:rsidRDefault="009106A3" w:rsidP="005F1886">
            <w:pPr>
              <w:pStyle w:val="Normaalweb"/>
              <w:spacing w:line="360" w:lineRule="auto"/>
              <w:jc w:val="center"/>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32 (67%)</w:t>
            </w:r>
          </w:p>
        </w:tc>
        <w:tc>
          <w:tcPr>
            <w:tcW w:w="1749" w:type="dxa"/>
          </w:tcPr>
          <w:p w14:paraId="086F78CE" w14:textId="77777777" w:rsidR="009106A3" w:rsidRDefault="009106A3" w:rsidP="005F1886">
            <w:pPr>
              <w:pStyle w:val="Normaalweb"/>
              <w:spacing w:line="360" w:lineRule="auto"/>
              <w:jc w:val="center"/>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16 (67%)</w:t>
            </w:r>
          </w:p>
        </w:tc>
        <w:tc>
          <w:tcPr>
            <w:tcW w:w="1701" w:type="dxa"/>
          </w:tcPr>
          <w:p w14:paraId="377A39BF" w14:textId="77777777" w:rsidR="009106A3" w:rsidRDefault="009106A3" w:rsidP="005F1886">
            <w:pPr>
              <w:pStyle w:val="Normaalweb"/>
              <w:spacing w:line="360" w:lineRule="auto"/>
              <w:jc w:val="center"/>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16 (67%)</w:t>
            </w:r>
          </w:p>
        </w:tc>
        <w:tc>
          <w:tcPr>
            <w:tcW w:w="987" w:type="dxa"/>
          </w:tcPr>
          <w:p w14:paraId="67063617" w14:textId="77777777" w:rsidR="009106A3" w:rsidRDefault="009106A3" w:rsidP="005F1886">
            <w:pPr>
              <w:pStyle w:val="Normaalweb"/>
              <w:spacing w:line="360" w:lineRule="auto"/>
              <w:jc w:val="center"/>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1</w:t>
            </w:r>
          </w:p>
        </w:tc>
      </w:tr>
      <w:tr w:rsidR="009106A3" w14:paraId="736579D3" w14:textId="77777777" w:rsidTr="005F1886">
        <w:tc>
          <w:tcPr>
            <w:tcW w:w="3114" w:type="dxa"/>
          </w:tcPr>
          <w:p w14:paraId="23F718EF" w14:textId="77777777" w:rsidR="009106A3" w:rsidRDefault="009106A3" w:rsidP="005F1886">
            <w:pPr>
              <w:pStyle w:val="Normaalweb"/>
              <w:spacing w:line="360" w:lineRule="auto"/>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Delirium – all (c)</w:t>
            </w:r>
          </w:p>
        </w:tc>
        <w:tc>
          <w:tcPr>
            <w:tcW w:w="1511" w:type="dxa"/>
          </w:tcPr>
          <w:p w14:paraId="5984582C" w14:textId="77777777" w:rsidR="009106A3" w:rsidRDefault="009106A3" w:rsidP="005F1886">
            <w:pPr>
              <w:pStyle w:val="Normaalweb"/>
              <w:spacing w:line="360" w:lineRule="auto"/>
              <w:jc w:val="center"/>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15 (31%)</w:t>
            </w:r>
          </w:p>
        </w:tc>
        <w:tc>
          <w:tcPr>
            <w:tcW w:w="1749" w:type="dxa"/>
          </w:tcPr>
          <w:p w14:paraId="45377789" w14:textId="77777777" w:rsidR="009106A3" w:rsidRDefault="009106A3" w:rsidP="005F1886">
            <w:pPr>
              <w:pStyle w:val="Normaalweb"/>
              <w:spacing w:line="360" w:lineRule="auto"/>
              <w:jc w:val="center"/>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9 (36%)</w:t>
            </w:r>
          </w:p>
        </w:tc>
        <w:tc>
          <w:tcPr>
            <w:tcW w:w="1701" w:type="dxa"/>
          </w:tcPr>
          <w:p w14:paraId="7BF19DA7" w14:textId="77777777" w:rsidR="009106A3" w:rsidRDefault="009106A3" w:rsidP="005F1886">
            <w:pPr>
              <w:pStyle w:val="Normaalweb"/>
              <w:spacing w:line="360" w:lineRule="auto"/>
              <w:jc w:val="center"/>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6 (25%)</w:t>
            </w:r>
          </w:p>
        </w:tc>
        <w:tc>
          <w:tcPr>
            <w:tcW w:w="987" w:type="dxa"/>
          </w:tcPr>
          <w:p w14:paraId="7F3A1C88" w14:textId="77777777" w:rsidR="009106A3" w:rsidRDefault="009106A3" w:rsidP="005F1886">
            <w:pPr>
              <w:pStyle w:val="Normaalweb"/>
              <w:spacing w:line="360" w:lineRule="auto"/>
              <w:jc w:val="center"/>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0.404</w:t>
            </w:r>
          </w:p>
        </w:tc>
      </w:tr>
      <w:tr w:rsidR="009106A3" w14:paraId="377C6DED" w14:textId="77777777" w:rsidTr="005F1886">
        <w:tc>
          <w:tcPr>
            <w:tcW w:w="3114" w:type="dxa"/>
          </w:tcPr>
          <w:p w14:paraId="16FF8D90" w14:textId="77777777" w:rsidR="009106A3" w:rsidRDefault="009106A3" w:rsidP="005F1886">
            <w:pPr>
              <w:pStyle w:val="Normaalweb"/>
              <w:spacing w:line="360" w:lineRule="auto"/>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Delirium – treatment (d)</w:t>
            </w:r>
          </w:p>
        </w:tc>
        <w:tc>
          <w:tcPr>
            <w:tcW w:w="1511" w:type="dxa"/>
          </w:tcPr>
          <w:p w14:paraId="64E6952B" w14:textId="77777777" w:rsidR="009106A3" w:rsidRDefault="009106A3" w:rsidP="005F1886">
            <w:pPr>
              <w:pStyle w:val="Normaalweb"/>
              <w:spacing w:line="360" w:lineRule="auto"/>
              <w:jc w:val="center"/>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6 (12%)</w:t>
            </w:r>
          </w:p>
        </w:tc>
        <w:tc>
          <w:tcPr>
            <w:tcW w:w="1749" w:type="dxa"/>
          </w:tcPr>
          <w:p w14:paraId="7CF573E0" w14:textId="77777777" w:rsidR="009106A3" w:rsidRDefault="009106A3" w:rsidP="005F1886">
            <w:pPr>
              <w:pStyle w:val="Normaalweb"/>
              <w:spacing w:line="360" w:lineRule="auto"/>
              <w:jc w:val="center"/>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4 (16%)</w:t>
            </w:r>
          </w:p>
        </w:tc>
        <w:tc>
          <w:tcPr>
            <w:tcW w:w="1701" w:type="dxa"/>
          </w:tcPr>
          <w:p w14:paraId="6F6B4FBC" w14:textId="77777777" w:rsidR="009106A3" w:rsidRDefault="009106A3" w:rsidP="005F1886">
            <w:pPr>
              <w:pStyle w:val="Normaalweb"/>
              <w:spacing w:line="360" w:lineRule="auto"/>
              <w:jc w:val="center"/>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2 (8%)</w:t>
            </w:r>
          </w:p>
        </w:tc>
        <w:tc>
          <w:tcPr>
            <w:tcW w:w="987" w:type="dxa"/>
          </w:tcPr>
          <w:p w14:paraId="02DEC6C7" w14:textId="77777777" w:rsidR="009106A3" w:rsidRDefault="009106A3" w:rsidP="005F1886">
            <w:pPr>
              <w:pStyle w:val="Normaalweb"/>
              <w:spacing w:line="360" w:lineRule="auto"/>
              <w:jc w:val="center"/>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0.413</w:t>
            </w:r>
          </w:p>
        </w:tc>
      </w:tr>
      <w:tr w:rsidR="009106A3" w14:paraId="48F320B8" w14:textId="77777777" w:rsidTr="005F1886">
        <w:tc>
          <w:tcPr>
            <w:tcW w:w="3114" w:type="dxa"/>
          </w:tcPr>
          <w:p w14:paraId="3B91E854" w14:textId="77777777" w:rsidR="009106A3" w:rsidRDefault="009106A3" w:rsidP="005F1886">
            <w:pPr>
              <w:pStyle w:val="Normaalweb"/>
              <w:spacing w:line="360" w:lineRule="auto"/>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 xml:space="preserve">Fall </w:t>
            </w:r>
          </w:p>
        </w:tc>
        <w:tc>
          <w:tcPr>
            <w:tcW w:w="1511" w:type="dxa"/>
          </w:tcPr>
          <w:p w14:paraId="678AB714" w14:textId="77777777" w:rsidR="009106A3" w:rsidRDefault="009106A3" w:rsidP="005F1886">
            <w:pPr>
              <w:pStyle w:val="Normaalweb"/>
              <w:spacing w:line="360" w:lineRule="auto"/>
              <w:jc w:val="center"/>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4 (8%)</w:t>
            </w:r>
          </w:p>
        </w:tc>
        <w:tc>
          <w:tcPr>
            <w:tcW w:w="1749" w:type="dxa"/>
          </w:tcPr>
          <w:p w14:paraId="4F9E6EEE" w14:textId="77777777" w:rsidR="009106A3" w:rsidRDefault="009106A3" w:rsidP="005F1886">
            <w:pPr>
              <w:pStyle w:val="Normaalweb"/>
              <w:spacing w:line="360" w:lineRule="auto"/>
              <w:jc w:val="center"/>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3 (13%)</w:t>
            </w:r>
          </w:p>
        </w:tc>
        <w:tc>
          <w:tcPr>
            <w:tcW w:w="1701" w:type="dxa"/>
          </w:tcPr>
          <w:p w14:paraId="0C12732F" w14:textId="77777777" w:rsidR="009106A3" w:rsidRDefault="009106A3" w:rsidP="005F1886">
            <w:pPr>
              <w:pStyle w:val="Normaalweb"/>
              <w:spacing w:line="360" w:lineRule="auto"/>
              <w:jc w:val="center"/>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1 (4%)</w:t>
            </w:r>
          </w:p>
        </w:tc>
        <w:tc>
          <w:tcPr>
            <w:tcW w:w="987" w:type="dxa"/>
          </w:tcPr>
          <w:p w14:paraId="3AD999EE" w14:textId="77777777" w:rsidR="009106A3" w:rsidRDefault="009106A3" w:rsidP="005F1886">
            <w:pPr>
              <w:pStyle w:val="Normaalweb"/>
              <w:spacing w:line="360" w:lineRule="auto"/>
              <w:jc w:val="center"/>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0.296</w:t>
            </w:r>
          </w:p>
        </w:tc>
      </w:tr>
      <w:tr w:rsidR="009106A3" w14:paraId="6A2C1FCC" w14:textId="77777777" w:rsidTr="005F1886">
        <w:tc>
          <w:tcPr>
            <w:tcW w:w="3114" w:type="dxa"/>
          </w:tcPr>
          <w:p w14:paraId="323B03D8" w14:textId="77777777" w:rsidR="009106A3" w:rsidRDefault="009106A3" w:rsidP="005F1886">
            <w:pPr>
              <w:pStyle w:val="Normaalweb"/>
              <w:spacing w:line="360" w:lineRule="auto"/>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Liver function abnormalities (e)</w:t>
            </w:r>
          </w:p>
        </w:tc>
        <w:tc>
          <w:tcPr>
            <w:tcW w:w="1511" w:type="dxa"/>
          </w:tcPr>
          <w:p w14:paraId="1D0F3682" w14:textId="77777777" w:rsidR="009106A3" w:rsidRDefault="009106A3" w:rsidP="005F1886">
            <w:pPr>
              <w:pStyle w:val="Normaalweb"/>
              <w:spacing w:line="360" w:lineRule="auto"/>
              <w:jc w:val="center"/>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2 (4%)</w:t>
            </w:r>
          </w:p>
        </w:tc>
        <w:tc>
          <w:tcPr>
            <w:tcW w:w="1749" w:type="dxa"/>
          </w:tcPr>
          <w:p w14:paraId="6BAAE62D" w14:textId="77777777" w:rsidR="009106A3" w:rsidRDefault="009106A3" w:rsidP="005F1886">
            <w:pPr>
              <w:pStyle w:val="Normaalweb"/>
              <w:spacing w:line="360" w:lineRule="auto"/>
              <w:jc w:val="center"/>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2 (8%)</w:t>
            </w:r>
          </w:p>
        </w:tc>
        <w:tc>
          <w:tcPr>
            <w:tcW w:w="1701" w:type="dxa"/>
          </w:tcPr>
          <w:p w14:paraId="164D3B18" w14:textId="77777777" w:rsidR="009106A3" w:rsidRDefault="009106A3" w:rsidP="005F1886">
            <w:pPr>
              <w:pStyle w:val="Normaalweb"/>
              <w:spacing w:line="360" w:lineRule="auto"/>
              <w:jc w:val="center"/>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0 (0%)</w:t>
            </w:r>
          </w:p>
        </w:tc>
        <w:tc>
          <w:tcPr>
            <w:tcW w:w="987" w:type="dxa"/>
          </w:tcPr>
          <w:p w14:paraId="2BE0CD2E" w14:textId="77777777" w:rsidR="009106A3" w:rsidRDefault="009106A3" w:rsidP="005F1886">
            <w:pPr>
              <w:pStyle w:val="Normaalweb"/>
              <w:spacing w:line="360" w:lineRule="auto"/>
              <w:jc w:val="center"/>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0.157</w:t>
            </w:r>
          </w:p>
        </w:tc>
      </w:tr>
      <w:tr w:rsidR="009106A3" w14:paraId="351C7DF2" w14:textId="77777777" w:rsidTr="005F1886">
        <w:tc>
          <w:tcPr>
            <w:tcW w:w="3114" w:type="dxa"/>
          </w:tcPr>
          <w:p w14:paraId="39CCB6E4" w14:textId="77777777" w:rsidR="009106A3" w:rsidRDefault="009106A3" w:rsidP="005F1886">
            <w:pPr>
              <w:pStyle w:val="Normaalweb"/>
              <w:spacing w:line="360" w:lineRule="auto"/>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QT-prolongation (f)</w:t>
            </w:r>
          </w:p>
        </w:tc>
        <w:tc>
          <w:tcPr>
            <w:tcW w:w="1511" w:type="dxa"/>
          </w:tcPr>
          <w:p w14:paraId="7D91243D" w14:textId="77777777" w:rsidR="009106A3" w:rsidRDefault="009106A3" w:rsidP="005F1886">
            <w:pPr>
              <w:pStyle w:val="Normaalweb"/>
              <w:spacing w:line="360" w:lineRule="auto"/>
              <w:jc w:val="center"/>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2 (4%)</w:t>
            </w:r>
          </w:p>
        </w:tc>
        <w:tc>
          <w:tcPr>
            <w:tcW w:w="1749" w:type="dxa"/>
          </w:tcPr>
          <w:p w14:paraId="44282914" w14:textId="77777777" w:rsidR="009106A3" w:rsidRDefault="009106A3" w:rsidP="005F1886">
            <w:pPr>
              <w:pStyle w:val="Normaalweb"/>
              <w:spacing w:line="360" w:lineRule="auto"/>
              <w:jc w:val="center"/>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1 (4%)</w:t>
            </w:r>
          </w:p>
        </w:tc>
        <w:tc>
          <w:tcPr>
            <w:tcW w:w="1701" w:type="dxa"/>
          </w:tcPr>
          <w:p w14:paraId="53BCB3EA" w14:textId="77777777" w:rsidR="009106A3" w:rsidRDefault="009106A3" w:rsidP="005F1886">
            <w:pPr>
              <w:pStyle w:val="Normaalweb"/>
              <w:spacing w:line="360" w:lineRule="auto"/>
              <w:jc w:val="center"/>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1 (4%)</w:t>
            </w:r>
          </w:p>
        </w:tc>
        <w:tc>
          <w:tcPr>
            <w:tcW w:w="987" w:type="dxa"/>
          </w:tcPr>
          <w:p w14:paraId="094EF513" w14:textId="77777777" w:rsidR="009106A3" w:rsidRDefault="009106A3" w:rsidP="005F1886">
            <w:pPr>
              <w:pStyle w:val="Normaalweb"/>
              <w:spacing w:line="360" w:lineRule="auto"/>
              <w:jc w:val="center"/>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0.976</w:t>
            </w:r>
          </w:p>
        </w:tc>
      </w:tr>
      <w:tr w:rsidR="009106A3" w14:paraId="432E06E6" w14:textId="77777777" w:rsidTr="005F1886">
        <w:tc>
          <w:tcPr>
            <w:tcW w:w="3114" w:type="dxa"/>
          </w:tcPr>
          <w:p w14:paraId="21186E8E" w14:textId="77777777" w:rsidR="009106A3" w:rsidRDefault="009106A3" w:rsidP="005F1886">
            <w:pPr>
              <w:pStyle w:val="Normaalweb"/>
              <w:spacing w:line="360" w:lineRule="auto"/>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 xml:space="preserve">Convulsions </w:t>
            </w:r>
          </w:p>
        </w:tc>
        <w:tc>
          <w:tcPr>
            <w:tcW w:w="1511" w:type="dxa"/>
          </w:tcPr>
          <w:p w14:paraId="4155F58F" w14:textId="77777777" w:rsidR="009106A3" w:rsidRDefault="009106A3" w:rsidP="005F1886">
            <w:pPr>
              <w:pStyle w:val="Normaalweb"/>
              <w:spacing w:line="360" w:lineRule="auto"/>
              <w:jc w:val="center"/>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1 (2%)</w:t>
            </w:r>
          </w:p>
        </w:tc>
        <w:tc>
          <w:tcPr>
            <w:tcW w:w="1749" w:type="dxa"/>
          </w:tcPr>
          <w:p w14:paraId="19BA3CBA" w14:textId="77777777" w:rsidR="009106A3" w:rsidRDefault="009106A3" w:rsidP="005F1886">
            <w:pPr>
              <w:pStyle w:val="Normaalweb"/>
              <w:spacing w:line="360" w:lineRule="auto"/>
              <w:jc w:val="center"/>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1 (4%)</w:t>
            </w:r>
          </w:p>
        </w:tc>
        <w:tc>
          <w:tcPr>
            <w:tcW w:w="1701" w:type="dxa"/>
          </w:tcPr>
          <w:p w14:paraId="18B873E1" w14:textId="77777777" w:rsidR="009106A3" w:rsidRDefault="009106A3" w:rsidP="005F1886">
            <w:pPr>
              <w:pStyle w:val="Normaalweb"/>
              <w:spacing w:line="360" w:lineRule="auto"/>
              <w:jc w:val="center"/>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0 (0%)</w:t>
            </w:r>
          </w:p>
        </w:tc>
        <w:tc>
          <w:tcPr>
            <w:tcW w:w="987" w:type="dxa"/>
          </w:tcPr>
          <w:p w14:paraId="77423D13" w14:textId="77777777" w:rsidR="009106A3" w:rsidRDefault="009106A3" w:rsidP="005F1886">
            <w:pPr>
              <w:pStyle w:val="Normaalweb"/>
              <w:spacing w:line="360" w:lineRule="auto"/>
              <w:jc w:val="center"/>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0.322</w:t>
            </w:r>
          </w:p>
        </w:tc>
      </w:tr>
    </w:tbl>
    <w:p w14:paraId="57CB8F47" w14:textId="77777777" w:rsidR="009106A3" w:rsidRDefault="009106A3" w:rsidP="009106A3">
      <w:pPr>
        <w:pStyle w:val="Normaalweb"/>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(a) need for treatment with anti-emetics</w:t>
      </w:r>
    </w:p>
    <w:p w14:paraId="37447BF2" w14:textId="77777777" w:rsidR="009106A3" w:rsidRDefault="009106A3" w:rsidP="009106A3">
      <w:pPr>
        <w:pStyle w:val="Normaalweb"/>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(b) defined as 3 days without passage of stool despite the use of laxatives</w:t>
      </w:r>
    </w:p>
    <w:p w14:paraId="5953D4FE" w14:textId="77777777" w:rsidR="009106A3" w:rsidRDefault="009106A3" w:rsidP="009106A3">
      <w:pPr>
        <w:pStyle w:val="Normaalweb"/>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 xml:space="preserve">(c) registered using DOS-scale </w:t>
      </w:r>
    </w:p>
    <w:p w14:paraId="001F0B90" w14:textId="77777777" w:rsidR="009106A3" w:rsidRDefault="009106A3" w:rsidP="009106A3">
      <w:pPr>
        <w:pStyle w:val="Normaalweb"/>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(d) need for treatment with psychotropic drugs</w:t>
      </w:r>
    </w:p>
    <w:p w14:paraId="420B4D62" w14:textId="77777777" w:rsidR="009106A3" w:rsidRDefault="009106A3" w:rsidP="009106A3">
      <w:pPr>
        <w:pStyle w:val="Normaalweb"/>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(e) de novo abnormal liver function tests at day 7</w:t>
      </w:r>
    </w:p>
    <w:p w14:paraId="46A479AD" w14:textId="77777777" w:rsidR="009106A3" w:rsidRPr="00BA26F9" w:rsidRDefault="009106A3" w:rsidP="009106A3">
      <w:pPr>
        <w:pStyle w:val="Normaalweb"/>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(f) detected 24 hours after onset of treatment with opioids</w:t>
      </w:r>
    </w:p>
    <w:p w14:paraId="3B16AA04" w14:textId="77777777" w:rsidR="009106A3" w:rsidRDefault="009106A3" w:rsidP="00552BA3">
      <w:pPr>
        <w:rPr>
          <w:lang w:val="en-US"/>
        </w:rPr>
      </w:pPr>
    </w:p>
    <w:p w14:paraId="5410C941" w14:textId="77777777" w:rsidR="005D0D77" w:rsidRDefault="005D0D77" w:rsidP="00552BA3">
      <w:pPr>
        <w:rPr>
          <w:lang w:val="en-US"/>
        </w:rPr>
      </w:pPr>
    </w:p>
    <w:p w14:paraId="230593FD" w14:textId="77777777" w:rsidR="005D0D77" w:rsidRDefault="005D0D77" w:rsidP="00552BA3">
      <w:pPr>
        <w:rPr>
          <w:lang w:val="en-US"/>
        </w:rPr>
      </w:pPr>
    </w:p>
    <w:p w14:paraId="280B0E6E" w14:textId="77777777" w:rsidR="005D0D77" w:rsidRDefault="005D0D77" w:rsidP="00552BA3">
      <w:pPr>
        <w:rPr>
          <w:lang w:val="en-US"/>
        </w:rPr>
      </w:pPr>
    </w:p>
    <w:p w14:paraId="4B354A4F" w14:textId="77777777" w:rsidR="005D0D77" w:rsidRDefault="005D0D77" w:rsidP="00552BA3">
      <w:pPr>
        <w:rPr>
          <w:lang w:val="en-US"/>
        </w:rPr>
      </w:pPr>
    </w:p>
    <w:p w14:paraId="567082F4" w14:textId="77777777" w:rsidR="005D0D77" w:rsidRDefault="005D0D77" w:rsidP="00552BA3">
      <w:pPr>
        <w:rPr>
          <w:lang w:val="en-US"/>
        </w:rPr>
      </w:pPr>
    </w:p>
    <w:p w14:paraId="355CA4B5" w14:textId="77777777" w:rsidR="005D0D77" w:rsidRDefault="005D0D77" w:rsidP="00552BA3">
      <w:pPr>
        <w:rPr>
          <w:lang w:val="en-US"/>
        </w:rPr>
      </w:pPr>
    </w:p>
    <w:p w14:paraId="3E2773F8" w14:textId="77777777" w:rsidR="005D0D77" w:rsidRDefault="005D0D77" w:rsidP="00552BA3">
      <w:pPr>
        <w:rPr>
          <w:lang w:val="en-US"/>
        </w:rPr>
      </w:pPr>
    </w:p>
    <w:p w14:paraId="20C27A9D" w14:textId="77777777" w:rsidR="005D0D77" w:rsidRDefault="005D0D77" w:rsidP="00552BA3">
      <w:pPr>
        <w:rPr>
          <w:lang w:val="en-US"/>
        </w:rPr>
      </w:pPr>
    </w:p>
    <w:p w14:paraId="5FE69A39" w14:textId="77777777" w:rsidR="005D0D77" w:rsidRDefault="005D0D77" w:rsidP="00552BA3">
      <w:pPr>
        <w:rPr>
          <w:lang w:val="en-US"/>
        </w:rPr>
      </w:pPr>
    </w:p>
    <w:p w14:paraId="1A78906E" w14:textId="42715769" w:rsidR="005D0D77" w:rsidRPr="0058364E" w:rsidRDefault="005D0D77" w:rsidP="005D0D77">
      <w:pPr>
        <w:pStyle w:val="Normaalweb"/>
        <w:spacing w:line="360" w:lineRule="auto"/>
        <w:rPr>
          <w:rFonts w:asciiTheme="minorHAnsi" w:hAnsiTheme="minorHAnsi" w:cstheme="minorHAnsi"/>
          <w:b/>
          <w:i/>
          <w:color w:val="000000"/>
          <w:sz w:val="22"/>
          <w:szCs w:val="22"/>
          <w:lang w:val="en-US"/>
        </w:rPr>
      </w:pPr>
      <w:r w:rsidRPr="0058364E">
        <w:rPr>
          <w:rFonts w:asciiTheme="minorHAnsi" w:hAnsiTheme="minorHAnsi" w:cstheme="minorHAnsi"/>
          <w:b/>
          <w:i/>
          <w:color w:val="000000"/>
          <w:sz w:val="22"/>
          <w:szCs w:val="22"/>
          <w:lang w:val="en-US"/>
        </w:rPr>
        <w:t>Figure 1: Drop-outs from study</w:t>
      </w:r>
    </w:p>
    <w:p w14:paraId="1E498AAE" w14:textId="77777777" w:rsidR="005D0D77" w:rsidRDefault="005D0D77" w:rsidP="00552BA3">
      <w:pPr>
        <w:rPr>
          <w:lang w:val="en-US"/>
        </w:rPr>
      </w:pPr>
    </w:p>
    <w:p w14:paraId="2CB75799" w14:textId="04EFAF2D" w:rsidR="005D0D77" w:rsidRPr="009106A3" w:rsidRDefault="005D0D77" w:rsidP="00552BA3">
      <w:pPr>
        <w:rPr>
          <w:lang w:val="en-US"/>
        </w:rPr>
      </w:pPr>
      <w:r>
        <w:rPr>
          <w:noProof/>
          <w:lang w:eastAsia="nl-BE"/>
        </w:rPr>
        <w:drawing>
          <wp:inline distT="0" distB="0" distL="0" distR="0" wp14:anchorId="7A201228" wp14:editId="3B658D4E">
            <wp:extent cx="5486400" cy="3886200"/>
            <wp:effectExtent l="0" t="0" r="0" b="1905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inline>
        </w:drawing>
      </w:r>
    </w:p>
    <w:sectPr w:rsidR="005D0D77" w:rsidRPr="009106A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271C"/>
    <w:rsid w:val="0000181C"/>
    <w:rsid w:val="00007ABF"/>
    <w:rsid w:val="00015613"/>
    <w:rsid w:val="00044FCC"/>
    <w:rsid w:val="00074B1F"/>
    <w:rsid w:val="00076BE3"/>
    <w:rsid w:val="0008100F"/>
    <w:rsid w:val="000918D8"/>
    <w:rsid w:val="00097267"/>
    <w:rsid w:val="00103142"/>
    <w:rsid w:val="00106D8B"/>
    <w:rsid w:val="00120159"/>
    <w:rsid w:val="00123606"/>
    <w:rsid w:val="00142B77"/>
    <w:rsid w:val="001445B0"/>
    <w:rsid w:val="00175442"/>
    <w:rsid w:val="00176118"/>
    <w:rsid w:val="001A28C2"/>
    <w:rsid w:val="001B2345"/>
    <w:rsid w:val="001E4477"/>
    <w:rsid w:val="00200347"/>
    <w:rsid w:val="002027AD"/>
    <w:rsid w:val="00202E1E"/>
    <w:rsid w:val="00207F50"/>
    <w:rsid w:val="00216858"/>
    <w:rsid w:val="00233C45"/>
    <w:rsid w:val="002352A1"/>
    <w:rsid w:val="00247A02"/>
    <w:rsid w:val="00265E75"/>
    <w:rsid w:val="00287107"/>
    <w:rsid w:val="002959DB"/>
    <w:rsid w:val="002A3BA9"/>
    <w:rsid w:val="002B182F"/>
    <w:rsid w:val="002D4835"/>
    <w:rsid w:val="002F6A21"/>
    <w:rsid w:val="00300581"/>
    <w:rsid w:val="00321262"/>
    <w:rsid w:val="00327C5C"/>
    <w:rsid w:val="00331F8D"/>
    <w:rsid w:val="00337A0C"/>
    <w:rsid w:val="00365072"/>
    <w:rsid w:val="0036721E"/>
    <w:rsid w:val="00373446"/>
    <w:rsid w:val="00393D99"/>
    <w:rsid w:val="003A59DA"/>
    <w:rsid w:val="003C5EC1"/>
    <w:rsid w:val="003D70EE"/>
    <w:rsid w:val="003E3FCA"/>
    <w:rsid w:val="003E4D8F"/>
    <w:rsid w:val="003F69C9"/>
    <w:rsid w:val="004039F9"/>
    <w:rsid w:val="0041598D"/>
    <w:rsid w:val="0043510C"/>
    <w:rsid w:val="00440C8C"/>
    <w:rsid w:val="00453E9E"/>
    <w:rsid w:val="00462029"/>
    <w:rsid w:val="004840A9"/>
    <w:rsid w:val="004A271C"/>
    <w:rsid w:val="004A388E"/>
    <w:rsid w:val="004B60CB"/>
    <w:rsid w:val="004B75F7"/>
    <w:rsid w:val="004C4E0C"/>
    <w:rsid w:val="004C79B5"/>
    <w:rsid w:val="004D2477"/>
    <w:rsid w:val="004D7C60"/>
    <w:rsid w:val="004D7D53"/>
    <w:rsid w:val="004F4E68"/>
    <w:rsid w:val="004F68C6"/>
    <w:rsid w:val="00552BA3"/>
    <w:rsid w:val="00564874"/>
    <w:rsid w:val="0057492D"/>
    <w:rsid w:val="0058364E"/>
    <w:rsid w:val="005942F9"/>
    <w:rsid w:val="005B0A40"/>
    <w:rsid w:val="005B4C83"/>
    <w:rsid w:val="005C03C2"/>
    <w:rsid w:val="005D0D77"/>
    <w:rsid w:val="005D4690"/>
    <w:rsid w:val="005D4DCE"/>
    <w:rsid w:val="005E757D"/>
    <w:rsid w:val="005F6D7D"/>
    <w:rsid w:val="006228C1"/>
    <w:rsid w:val="006302D7"/>
    <w:rsid w:val="00662F42"/>
    <w:rsid w:val="00674257"/>
    <w:rsid w:val="00676031"/>
    <w:rsid w:val="00686B12"/>
    <w:rsid w:val="0069176B"/>
    <w:rsid w:val="0069277D"/>
    <w:rsid w:val="00696020"/>
    <w:rsid w:val="00696BF9"/>
    <w:rsid w:val="006A7AEA"/>
    <w:rsid w:val="006B0197"/>
    <w:rsid w:val="006E2E97"/>
    <w:rsid w:val="006F36E1"/>
    <w:rsid w:val="006F61C0"/>
    <w:rsid w:val="00753BBA"/>
    <w:rsid w:val="007A05A3"/>
    <w:rsid w:val="007A48E7"/>
    <w:rsid w:val="007B2C32"/>
    <w:rsid w:val="007D28B1"/>
    <w:rsid w:val="007E0DB4"/>
    <w:rsid w:val="007E3CDB"/>
    <w:rsid w:val="007F0A3A"/>
    <w:rsid w:val="007F2D3D"/>
    <w:rsid w:val="008246A0"/>
    <w:rsid w:val="00855969"/>
    <w:rsid w:val="00865AB6"/>
    <w:rsid w:val="008720D3"/>
    <w:rsid w:val="00880FC1"/>
    <w:rsid w:val="00886ABF"/>
    <w:rsid w:val="008B38C9"/>
    <w:rsid w:val="008D128A"/>
    <w:rsid w:val="008E0C52"/>
    <w:rsid w:val="009106A3"/>
    <w:rsid w:val="009143DD"/>
    <w:rsid w:val="0092099B"/>
    <w:rsid w:val="00931C6E"/>
    <w:rsid w:val="00933C8C"/>
    <w:rsid w:val="00936F77"/>
    <w:rsid w:val="00941966"/>
    <w:rsid w:val="0094795C"/>
    <w:rsid w:val="0095294F"/>
    <w:rsid w:val="009616F1"/>
    <w:rsid w:val="009A33CE"/>
    <w:rsid w:val="009A7C94"/>
    <w:rsid w:val="009F798C"/>
    <w:rsid w:val="00A02828"/>
    <w:rsid w:val="00A06C84"/>
    <w:rsid w:val="00A27FFB"/>
    <w:rsid w:val="00A54C76"/>
    <w:rsid w:val="00A6580E"/>
    <w:rsid w:val="00A743C5"/>
    <w:rsid w:val="00AD36DF"/>
    <w:rsid w:val="00AF07C1"/>
    <w:rsid w:val="00AF0D9E"/>
    <w:rsid w:val="00B14E85"/>
    <w:rsid w:val="00B27172"/>
    <w:rsid w:val="00B46E50"/>
    <w:rsid w:val="00B533DD"/>
    <w:rsid w:val="00B57F7C"/>
    <w:rsid w:val="00B663A9"/>
    <w:rsid w:val="00B81642"/>
    <w:rsid w:val="00BA26F9"/>
    <w:rsid w:val="00BF2CB1"/>
    <w:rsid w:val="00C03ABB"/>
    <w:rsid w:val="00C05DD5"/>
    <w:rsid w:val="00C11C0C"/>
    <w:rsid w:val="00C14BD3"/>
    <w:rsid w:val="00C33A4A"/>
    <w:rsid w:val="00C84369"/>
    <w:rsid w:val="00C84833"/>
    <w:rsid w:val="00CC703D"/>
    <w:rsid w:val="00D0710C"/>
    <w:rsid w:val="00D12352"/>
    <w:rsid w:val="00D24900"/>
    <w:rsid w:val="00D25709"/>
    <w:rsid w:val="00D30152"/>
    <w:rsid w:val="00D34664"/>
    <w:rsid w:val="00D41CD3"/>
    <w:rsid w:val="00D92DB9"/>
    <w:rsid w:val="00E265F9"/>
    <w:rsid w:val="00E26C3C"/>
    <w:rsid w:val="00E30E0D"/>
    <w:rsid w:val="00E36712"/>
    <w:rsid w:val="00E54511"/>
    <w:rsid w:val="00E863D5"/>
    <w:rsid w:val="00EA23B2"/>
    <w:rsid w:val="00EB1286"/>
    <w:rsid w:val="00EB75FA"/>
    <w:rsid w:val="00EE6E8C"/>
    <w:rsid w:val="00EE7EB4"/>
    <w:rsid w:val="00F56FB7"/>
    <w:rsid w:val="00F717DA"/>
    <w:rsid w:val="00F738B1"/>
    <w:rsid w:val="00F854DA"/>
    <w:rsid w:val="00F93242"/>
    <w:rsid w:val="00FE3604"/>
    <w:rsid w:val="00FE4861"/>
    <w:rsid w:val="00FE7046"/>
    <w:rsid w:val="00FF3C49"/>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804EDE"/>
  <w15:chartTrackingRefBased/>
  <w15:docId w15:val="{BA18D5D5-6C4C-4AB6-80E0-548F594E4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4A271C"/>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basedOn w:val="Standaardalinea-lettertype"/>
    <w:uiPriority w:val="99"/>
    <w:semiHidden/>
    <w:unhideWhenUsed/>
    <w:rsid w:val="00F738B1"/>
    <w:rPr>
      <w:sz w:val="16"/>
      <w:szCs w:val="16"/>
    </w:rPr>
  </w:style>
  <w:style w:type="paragraph" w:styleId="Tekstopmerking">
    <w:name w:val="annotation text"/>
    <w:basedOn w:val="Standaard"/>
    <w:link w:val="TekstopmerkingChar"/>
    <w:uiPriority w:val="99"/>
    <w:semiHidden/>
    <w:unhideWhenUsed/>
    <w:rsid w:val="00F738B1"/>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F738B1"/>
    <w:rPr>
      <w:sz w:val="20"/>
      <w:szCs w:val="20"/>
    </w:rPr>
  </w:style>
  <w:style w:type="paragraph" w:styleId="Ballontekst">
    <w:name w:val="Balloon Text"/>
    <w:basedOn w:val="Standaard"/>
    <w:link w:val="BallontekstChar"/>
    <w:uiPriority w:val="99"/>
    <w:semiHidden/>
    <w:unhideWhenUsed/>
    <w:rsid w:val="00F738B1"/>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F738B1"/>
    <w:rPr>
      <w:rFonts w:ascii="Segoe UI" w:hAnsi="Segoe UI" w:cs="Segoe UI"/>
      <w:sz w:val="18"/>
      <w:szCs w:val="18"/>
    </w:rPr>
  </w:style>
  <w:style w:type="character" w:styleId="Hyperlink">
    <w:name w:val="Hyperlink"/>
    <w:basedOn w:val="Standaardalinea-lettertype"/>
    <w:uiPriority w:val="99"/>
    <w:unhideWhenUsed/>
    <w:rsid w:val="00552BA3"/>
    <w:rPr>
      <w:rFonts w:cs="Times New Roman"/>
      <w:color w:val="0000FF"/>
      <w:u w:val="single"/>
    </w:rPr>
  </w:style>
  <w:style w:type="paragraph" w:customStyle="1" w:styleId="EndNoteBibliography">
    <w:name w:val="EndNote Bibliography"/>
    <w:basedOn w:val="Standaard"/>
    <w:link w:val="EndNoteBibliographyChar"/>
    <w:rsid w:val="00552BA3"/>
    <w:pPr>
      <w:spacing w:line="240" w:lineRule="auto"/>
    </w:pPr>
    <w:rPr>
      <w:rFonts w:ascii="Calibri" w:hAnsi="Calibri" w:cs="Calibri"/>
      <w:noProof/>
      <w:lang w:val="en-US"/>
    </w:rPr>
  </w:style>
  <w:style w:type="character" w:customStyle="1" w:styleId="EndNoteBibliographyChar">
    <w:name w:val="EndNote Bibliography Char"/>
    <w:basedOn w:val="Standaardalinea-lettertype"/>
    <w:link w:val="EndNoteBibliography"/>
    <w:rsid w:val="00552BA3"/>
    <w:rPr>
      <w:rFonts w:ascii="Calibri" w:hAnsi="Calibri" w:cs="Calibri"/>
      <w:noProof/>
      <w:lang w:val="en-US"/>
    </w:rPr>
  </w:style>
  <w:style w:type="paragraph" w:customStyle="1" w:styleId="Default">
    <w:name w:val="Default"/>
    <w:rsid w:val="00674257"/>
    <w:pPr>
      <w:autoSpaceDE w:val="0"/>
      <w:autoSpaceDN w:val="0"/>
      <w:adjustRightInd w:val="0"/>
      <w:spacing w:after="0" w:line="240" w:lineRule="auto"/>
    </w:pPr>
    <w:rPr>
      <w:rFonts w:ascii="Calibri" w:hAnsi="Calibri" w:cs="Calibri"/>
      <w:color w:val="000000"/>
      <w:sz w:val="24"/>
      <w:szCs w:val="24"/>
    </w:rPr>
  </w:style>
  <w:style w:type="paragraph" w:styleId="Normaalweb">
    <w:name w:val="Normal (Web)"/>
    <w:basedOn w:val="Standaard"/>
    <w:uiPriority w:val="99"/>
    <w:unhideWhenUsed/>
    <w:rsid w:val="00365072"/>
    <w:pPr>
      <w:spacing w:before="100" w:beforeAutospacing="1" w:after="100" w:afterAutospacing="1" w:line="240" w:lineRule="auto"/>
    </w:pPr>
    <w:rPr>
      <w:rFonts w:ascii="Times New Roman" w:eastAsia="Times New Roman" w:hAnsi="Times New Roman" w:cs="Times New Roman"/>
      <w:sz w:val="24"/>
      <w:szCs w:val="24"/>
      <w:lang w:eastAsia="nl-BE"/>
    </w:rPr>
  </w:style>
  <w:style w:type="table" w:styleId="Tabelraster">
    <w:name w:val="Table Grid"/>
    <w:basedOn w:val="Standaardtabel"/>
    <w:uiPriority w:val="39"/>
    <w:rsid w:val="008B38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werpvanopmerking">
    <w:name w:val="annotation subject"/>
    <w:basedOn w:val="Tekstopmerking"/>
    <w:next w:val="Tekstopmerking"/>
    <w:link w:val="OnderwerpvanopmerkingChar"/>
    <w:uiPriority w:val="99"/>
    <w:semiHidden/>
    <w:unhideWhenUsed/>
    <w:rsid w:val="00886ABF"/>
    <w:rPr>
      <w:b/>
      <w:bCs/>
    </w:rPr>
  </w:style>
  <w:style w:type="character" w:customStyle="1" w:styleId="OnderwerpvanopmerkingChar">
    <w:name w:val="Onderwerp van opmerking Char"/>
    <w:basedOn w:val="TekstopmerkingChar"/>
    <w:link w:val="Onderwerpvanopmerking"/>
    <w:uiPriority w:val="99"/>
    <w:semiHidden/>
    <w:rsid w:val="00886AB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594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3" Type="http://schemas.openxmlformats.org/officeDocument/2006/relationships/settings" Target="settings.xml"/><Relationship Id="rId7" Type="http://schemas.openxmlformats.org/officeDocument/2006/relationships/diagramLayout" Target="diagrams/layout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diagramData" Target="diagrams/data1.xml"/><Relationship Id="rId11" Type="http://schemas.openxmlformats.org/officeDocument/2006/relationships/fontTable" Target="fontTable.xml"/><Relationship Id="rId5" Type="http://schemas.openxmlformats.org/officeDocument/2006/relationships/hyperlink" Target="mailto:Wim.Janssens@UGent.be" TargetMode="External"/><Relationship Id="rId10" Type="http://schemas.microsoft.com/office/2007/relationships/diagramDrawing" Target="diagrams/drawing1.xml"/><Relationship Id="rId4" Type="http://schemas.openxmlformats.org/officeDocument/2006/relationships/webSettings" Target="webSettings.xml"/><Relationship Id="rId9"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1C394B4-EE68-4ACB-B36B-4AB2F0CECB80}" type="doc">
      <dgm:prSet loTypeId="urn:microsoft.com/office/officeart/2005/8/layout/hierarchy2" loCatId="hierarchy" qsTypeId="urn:microsoft.com/office/officeart/2005/8/quickstyle/simple1" qsCatId="simple" csTypeId="urn:microsoft.com/office/officeart/2005/8/colors/accent0_1" csCatId="mainScheme" phldr="1"/>
      <dgm:spPr/>
      <dgm:t>
        <a:bodyPr/>
        <a:lstStyle/>
        <a:p>
          <a:endParaRPr lang="nl-BE"/>
        </a:p>
      </dgm:t>
    </dgm:pt>
    <dgm:pt modelId="{46DC3E59-C492-4D90-94EA-367A80B7B097}">
      <dgm:prSet phldrT="[Tekst]"/>
      <dgm:spPr>
        <a:xfrm>
          <a:off x="66515" y="838381"/>
          <a:ext cx="761869" cy="380934"/>
        </a:xfrm>
        <a:prstGeom prst="roundRect">
          <a:avLst>
            <a:gd name="adj" fmla="val 10000"/>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r>
            <a:rPr lang="nl-BE">
              <a:solidFill>
                <a:sysClr val="windowText" lastClr="000000">
                  <a:hueOff val="0"/>
                  <a:satOff val="0"/>
                  <a:lumOff val="0"/>
                  <a:alphaOff val="0"/>
                </a:sysClr>
              </a:solidFill>
              <a:latin typeface="Calibri"/>
              <a:ea typeface="+mn-ea"/>
              <a:cs typeface="+mn-cs"/>
            </a:rPr>
            <a:t>Tramadol</a:t>
          </a:r>
        </a:p>
      </dgm:t>
    </dgm:pt>
    <dgm:pt modelId="{EE69768F-B432-46E2-B50F-2447985CAEB0}" type="parTrans" cxnId="{D67FFDFE-EC70-4674-9DDA-C35333A5EC2C}">
      <dgm:prSet/>
      <dgm:spPr/>
      <dgm:t>
        <a:bodyPr/>
        <a:lstStyle/>
        <a:p>
          <a:endParaRPr lang="nl-BE"/>
        </a:p>
      </dgm:t>
    </dgm:pt>
    <dgm:pt modelId="{9C034F52-A34E-4262-A7D7-E78631950B1D}" type="sibTrans" cxnId="{D67FFDFE-EC70-4674-9DDA-C35333A5EC2C}">
      <dgm:prSet/>
      <dgm:spPr/>
      <dgm:t>
        <a:bodyPr/>
        <a:lstStyle/>
        <a:p>
          <a:endParaRPr lang="nl-BE"/>
        </a:p>
      </dgm:t>
    </dgm:pt>
    <dgm:pt modelId="{6389DA28-C44C-4857-9B12-0BC43DE9A613}">
      <dgm:prSet phldrT="[Tekst]"/>
      <dgm:spPr>
        <a:xfrm>
          <a:off x="2276135" y="332"/>
          <a:ext cx="1962332" cy="380934"/>
        </a:xfrm>
        <a:prstGeom prst="roundRect">
          <a:avLst>
            <a:gd name="adj" fmla="val 10000"/>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r>
            <a:rPr lang="nl-BE">
              <a:solidFill>
                <a:sysClr val="windowText" lastClr="000000">
                  <a:hueOff val="0"/>
                  <a:satOff val="0"/>
                  <a:lumOff val="0"/>
                  <a:alphaOff val="0"/>
                </a:sysClr>
              </a:solidFill>
              <a:latin typeface="Calibri"/>
              <a:ea typeface="+mn-ea"/>
              <a:cs typeface="+mn-cs"/>
            </a:rPr>
            <a:t>1 acute pulmonary edema (day 2)</a:t>
          </a:r>
        </a:p>
      </dgm:t>
    </dgm:pt>
    <dgm:pt modelId="{D89A0DDF-E0EB-48DA-8796-09B9812251DD}" type="parTrans" cxnId="{AA57B88F-920F-45DA-AB44-D2556C8DFBC7}">
      <dgm:prSet/>
      <dgm:spPr>
        <a:xfrm rot="19796103">
          <a:off x="715853" y="601002"/>
          <a:ext cx="1672814" cy="17644"/>
        </a:xfrm>
        <a:custGeom>
          <a:avLst/>
          <a:gdLst/>
          <a:ahLst/>
          <a:cxnLst/>
          <a:rect l="0" t="0" r="0" b="0"/>
          <a:pathLst>
            <a:path>
              <a:moveTo>
                <a:pt x="0" y="8822"/>
              </a:moveTo>
              <a:lnTo>
                <a:pt x="1672814" y="8822"/>
              </a:lnTo>
            </a:path>
          </a:pathLst>
        </a:custGeom>
        <a:noFill/>
        <a:ln w="12700" cap="flat" cmpd="sng" algn="ctr">
          <a:solidFill>
            <a:sysClr val="windowText" lastClr="000000">
              <a:shade val="60000"/>
              <a:hueOff val="0"/>
              <a:satOff val="0"/>
              <a:lumOff val="0"/>
              <a:alphaOff val="0"/>
            </a:sysClr>
          </a:solidFill>
          <a:prstDash val="solid"/>
          <a:miter lim="800000"/>
        </a:ln>
        <a:effectLst/>
      </dgm:spPr>
      <dgm:t>
        <a:bodyPr/>
        <a:lstStyle/>
        <a:p>
          <a:endParaRPr lang="nl-BE">
            <a:solidFill>
              <a:sysClr val="windowText" lastClr="000000">
                <a:hueOff val="0"/>
                <a:satOff val="0"/>
                <a:lumOff val="0"/>
                <a:alphaOff val="0"/>
              </a:sysClr>
            </a:solidFill>
            <a:latin typeface="Calibri"/>
            <a:ea typeface="+mn-ea"/>
            <a:cs typeface="+mn-cs"/>
          </a:endParaRPr>
        </a:p>
      </dgm:t>
    </dgm:pt>
    <dgm:pt modelId="{EC15BEC8-C41A-4488-A5E4-1EE0103D7A1C}" type="sibTrans" cxnId="{AA57B88F-920F-45DA-AB44-D2556C8DFBC7}">
      <dgm:prSet/>
      <dgm:spPr/>
      <dgm:t>
        <a:bodyPr/>
        <a:lstStyle/>
        <a:p>
          <a:endParaRPr lang="nl-BE"/>
        </a:p>
      </dgm:t>
    </dgm:pt>
    <dgm:pt modelId="{F3484646-121A-4C85-B439-3F9F57E68263}">
      <dgm:prSet phldrT="[Tekst]"/>
      <dgm:spPr>
        <a:xfrm>
          <a:off x="2276135" y="438407"/>
          <a:ext cx="1962332" cy="380934"/>
        </a:xfrm>
        <a:prstGeom prst="roundRect">
          <a:avLst>
            <a:gd name="adj" fmla="val 10000"/>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r>
            <a:rPr lang="nl-BE">
              <a:solidFill>
                <a:sysClr val="windowText" lastClr="000000">
                  <a:hueOff val="0"/>
                  <a:satOff val="0"/>
                  <a:lumOff val="0"/>
                  <a:alphaOff val="0"/>
                </a:sysClr>
              </a:solidFill>
              <a:latin typeface="Calibri"/>
              <a:ea typeface="+mn-ea"/>
              <a:cs typeface="+mn-cs"/>
            </a:rPr>
            <a:t>1 convulsions (day 2)</a:t>
          </a:r>
        </a:p>
      </dgm:t>
    </dgm:pt>
    <dgm:pt modelId="{DADF459E-149D-46FC-A9F8-C448D8E21559}" type="parTrans" cxnId="{1920C0CE-A682-49A3-A8C3-3743E981E2BE}">
      <dgm:prSet/>
      <dgm:spPr>
        <a:xfrm rot="20673359">
          <a:off x="801267" y="820039"/>
          <a:ext cx="1501985" cy="17644"/>
        </a:xfrm>
        <a:custGeom>
          <a:avLst/>
          <a:gdLst/>
          <a:ahLst/>
          <a:cxnLst/>
          <a:rect l="0" t="0" r="0" b="0"/>
          <a:pathLst>
            <a:path>
              <a:moveTo>
                <a:pt x="0" y="8822"/>
              </a:moveTo>
              <a:lnTo>
                <a:pt x="1501985" y="8822"/>
              </a:lnTo>
            </a:path>
          </a:pathLst>
        </a:custGeom>
        <a:noFill/>
        <a:ln w="12700" cap="flat" cmpd="sng" algn="ctr">
          <a:solidFill>
            <a:sysClr val="windowText" lastClr="000000">
              <a:shade val="60000"/>
              <a:hueOff val="0"/>
              <a:satOff val="0"/>
              <a:lumOff val="0"/>
              <a:alphaOff val="0"/>
            </a:sysClr>
          </a:solidFill>
          <a:prstDash val="solid"/>
          <a:miter lim="800000"/>
        </a:ln>
        <a:effectLst/>
      </dgm:spPr>
      <dgm:t>
        <a:bodyPr/>
        <a:lstStyle/>
        <a:p>
          <a:endParaRPr lang="nl-BE">
            <a:solidFill>
              <a:sysClr val="windowText" lastClr="000000">
                <a:hueOff val="0"/>
                <a:satOff val="0"/>
                <a:lumOff val="0"/>
                <a:alphaOff val="0"/>
              </a:sysClr>
            </a:solidFill>
            <a:latin typeface="Calibri"/>
            <a:ea typeface="+mn-ea"/>
            <a:cs typeface="+mn-cs"/>
          </a:endParaRPr>
        </a:p>
      </dgm:t>
    </dgm:pt>
    <dgm:pt modelId="{5871BCFB-A14A-464B-8D32-A19BB9B10A5D}" type="sibTrans" cxnId="{1920C0CE-A682-49A3-A8C3-3743E981E2BE}">
      <dgm:prSet/>
      <dgm:spPr/>
      <dgm:t>
        <a:bodyPr/>
        <a:lstStyle/>
        <a:p>
          <a:endParaRPr lang="nl-BE"/>
        </a:p>
      </dgm:t>
    </dgm:pt>
    <dgm:pt modelId="{BDD2C5A6-CB41-46A0-B741-427B4EE72402}">
      <dgm:prSet phldrT="[Tekst]"/>
      <dgm:spPr>
        <a:xfrm>
          <a:off x="85569" y="2685896"/>
          <a:ext cx="761869" cy="380934"/>
        </a:xfrm>
        <a:prstGeom prst="roundRect">
          <a:avLst>
            <a:gd name="adj" fmla="val 10000"/>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r>
            <a:rPr lang="nl-BE">
              <a:solidFill>
                <a:sysClr val="windowText" lastClr="000000">
                  <a:hueOff val="0"/>
                  <a:satOff val="0"/>
                  <a:lumOff val="0"/>
                  <a:alphaOff val="0"/>
                </a:sysClr>
              </a:solidFill>
              <a:latin typeface="Calibri"/>
              <a:ea typeface="+mn-ea"/>
              <a:cs typeface="+mn-cs"/>
            </a:rPr>
            <a:t>Oxycodon</a:t>
          </a:r>
        </a:p>
      </dgm:t>
    </dgm:pt>
    <dgm:pt modelId="{429D43FB-0CCA-45D6-B8BB-FAC917B4EEA2}" type="parTrans" cxnId="{329F0A78-3680-4CB7-96BE-2EB645EAF297}">
      <dgm:prSet/>
      <dgm:spPr/>
      <dgm:t>
        <a:bodyPr/>
        <a:lstStyle/>
        <a:p>
          <a:endParaRPr lang="nl-BE"/>
        </a:p>
      </dgm:t>
    </dgm:pt>
    <dgm:pt modelId="{82ABCD93-64CE-4BBD-902D-61CD47F845BF}" type="sibTrans" cxnId="{329F0A78-3680-4CB7-96BE-2EB645EAF297}">
      <dgm:prSet/>
      <dgm:spPr/>
      <dgm:t>
        <a:bodyPr/>
        <a:lstStyle/>
        <a:p>
          <a:endParaRPr lang="nl-BE"/>
        </a:p>
      </dgm:t>
    </dgm:pt>
    <dgm:pt modelId="{284A5F14-EE77-449E-A981-550FA06B7801}">
      <dgm:prSet phldrT="[Tekst]"/>
      <dgm:spPr>
        <a:xfrm>
          <a:off x="2276135" y="2190707"/>
          <a:ext cx="1981387" cy="380934"/>
        </a:xfrm>
        <a:prstGeom prst="roundRect">
          <a:avLst>
            <a:gd name="adj" fmla="val 10000"/>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r>
            <a:rPr lang="nl-BE">
              <a:solidFill>
                <a:sysClr val="windowText" lastClr="000000">
                  <a:hueOff val="0"/>
                  <a:satOff val="0"/>
                  <a:lumOff val="0"/>
                  <a:alphaOff val="0"/>
                </a:sysClr>
              </a:solidFill>
              <a:latin typeface="Calibri"/>
              <a:ea typeface="+mn-ea"/>
              <a:cs typeface="+mn-cs"/>
            </a:rPr>
            <a:t>1 confusion (day 3)</a:t>
          </a:r>
        </a:p>
      </dgm:t>
    </dgm:pt>
    <dgm:pt modelId="{19FD8AE9-CB45-42DB-A5E3-74B7990D4646}" type="parTrans" cxnId="{D06D83F4-4EE5-4C11-BFD8-9AB54A8FA686}">
      <dgm:prSet/>
      <dgm:spPr>
        <a:xfrm rot="20453016">
          <a:off x="805747" y="2619947"/>
          <a:ext cx="1512079" cy="17644"/>
        </a:xfrm>
        <a:custGeom>
          <a:avLst/>
          <a:gdLst/>
          <a:ahLst/>
          <a:cxnLst/>
          <a:rect l="0" t="0" r="0" b="0"/>
          <a:pathLst>
            <a:path>
              <a:moveTo>
                <a:pt x="0" y="8822"/>
              </a:moveTo>
              <a:lnTo>
                <a:pt x="1512079" y="8822"/>
              </a:lnTo>
            </a:path>
          </a:pathLst>
        </a:custGeom>
        <a:noFill/>
        <a:ln w="12700" cap="flat" cmpd="sng" algn="ctr">
          <a:solidFill>
            <a:sysClr val="windowText" lastClr="000000">
              <a:shade val="60000"/>
              <a:hueOff val="0"/>
              <a:satOff val="0"/>
              <a:lumOff val="0"/>
              <a:alphaOff val="0"/>
            </a:sysClr>
          </a:solidFill>
          <a:prstDash val="solid"/>
          <a:miter lim="800000"/>
        </a:ln>
        <a:effectLst/>
      </dgm:spPr>
      <dgm:t>
        <a:bodyPr/>
        <a:lstStyle/>
        <a:p>
          <a:endParaRPr lang="nl-BE">
            <a:solidFill>
              <a:sysClr val="windowText" lastClr="000000">
                <a:hueOff val="0"/>
                <a:satOff val="0"/>
                <a:lumOff val="0"/>
                <a:alphaOff val="0"/>
              </a:sysClr>
            </a:solidFill>
            <a:latin typeface="Calibri"/>
            <a:ea typeface="+mn-ea"/>
            <a:cs typeface="+mn-cs"/>
          </a:endParaRPr>
        </a:p>
      </dgm:t>
    </dgm:pt>
    <dgm:pt modelId="{45B06514-F849-4E61-BF7F-032E7B14A84A}" type="sibTrans" cxnId="{D06D83F4-4EE5-4C11-BFD8-9AB54A8FA686}">
      <dgm:prSet/>
      <dgm:spPr/>
      <dgm:t>
        <a:bodyPr/>
        <a:lstStyle/>
        <a:p>
          <a:endParaRPr lang="nl-BE"/>
        </a:p>
      </dgm:t>
    </dgm:pt>
    <dgm:pt modelId="{D2CF82F5-2B00-4FA9-94E1-B32E7E9469AD}">
      <dgm:prSet phldrT="[Tekst]"/>
      <dgm:spPr>
        <a:xfrm>
          <a:off x="2276135" y="2628782"/>
          <a:ext cx="2000433" cy="380934"/>
        </a:xfrm>
        <a:prstGeom prst="roundRect">
          <a:avLst>
            <a:gd name="adj" fmla="val 10000"/>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r>
            <a:rPr lang="nl-BE">
              <a:solidFill>
                <a:sysClr val="windowText" lastClr="000000">
                  <a:hueOff val="0"/>
                  <a:satOff val="0"/>
                  <a:lumOff val="0"/>
                  <a:alphaOff val="0"/>
                </a:sysClr>
              </a:solidFill>
              <a:latin typeface="Calibri"/>
              <a:ea typeface="+mn-ea"/>
              <a:cs typeface="+mn-cs"/>
            </a:rPr>
            <a:t>1 swallowing difficulty (day 3) </a:t>
          </a:r>
        </a:p>
      </dgm:t>
    </dgm:pt>
    <dgm:pt modelId="{4D797B49-45E4-41F1-AF2E-FB42D4413913}" type="parTrans" cxnId="{9C9C258A-BFA2-48C7-B453-1ED97884DDD5}">
      <dgm:prSet/>
      <dgm:spPr>
        <a:xfrm rot="21462646">
          <a:off x="846868" y="2838985"/>
          <a:ext cx="1429837" cy="17644"/>
        </a:xfrm>
        <a:custGeom>
          <a:avLst/>
          <a:gdLst/>
          <a:ahLst/>
          <a:cxnLst/>
          <a:rect l="0" t="0" r="0" b="0"/>
          <a:pathLst>
            <a:path>
              <a:moveTo>
                <a:pt x="0" y="8822"/>
              </a:moveTo>
              <a:lnTo>
                <a:pt x="1429837" y="8822"/>
              </a:lnTo>
            </a:path>
          </a:pathLst>
        </a:custGeom>
        <a:noFill/>
        <a:ln w="12700" cap="flat" cmpd="sng" algn="ctr">
          <a:solidFill>
            <a:sysClr val="windowText" lastClr="000000">
              <a:shade val="60000"/>
              <a:hueOff val="0"/>
              <a:satOff val="0"/>
              <a:lumOff val="0"/>
              <a:alphaOff val="0"/>
            </a:sysClr>
          </a:solidFill>
          <a:prstDash val="solid"/>
          <a:miter lim="800000"/>
        </a:ln>
        <a:effectLst/>
      </dgm:spPr>
      <dgm:t>
        <a:bodyPr/>
        <a:lstStyle/>
        <a:p>
          <a:endParaRPr lang="nl-BE">
            <a:solidFill>
              <a:sysClr val="windowText" lastClr="000000">
                <a:hueOff val="0"/>
                <a:satOff val="0"/>
                <a:lumOff val="0"/>
                <a:alphaOff val="0"/>
              </a:sysClr>
            </a:solidFill>
            <a:latin typeface="Calibri"/>
            <a:ea typeface="+mn-ea"/>
            <a:cs typeface="+mn-cs"/>
          </a:endParaRPr>
        </a:p>
      </dgm:t>
    </dgm:pt>
    <dgm:pt modelId="{3DC31923-7CBA-4995-A9A5-3A2CB891FFEC}" type="sibTrans" cxnId="{9C9C258A-BFA2-48C7-B453-1ED97884DDD5}">
      <dgm:prSet/>
      <dgm:spPr/>
      <dgm:t>
        <a:bodyPr/>
        <a:lstStyle/>
        <a:p>
          <a:endParaRPr lang="nl-BE"/>
        </a:p>
      </dgm:t>
    </dgm:pt>
    <dgm:pt modelId="{8A70B62F-67B5-419E-91AF-A647E066C219}">
      <dgm:prSet phldrT="[Tekst]"/>
      <dgm:spPr>
        <a:xfrm>
          <a:off x="2276135" y="1752632"/>
          <a:ext cx="1962020" cy="380934"/>
        </a:xfrm>
        <a:prstGeom prst="roundRect">
          <a:avLst>
            <a:gd name="adj" fmla="val 10000"/>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r>
            <a:rPr lang="nl-BE">
              <a:solidFill>
                <a:sysClr val="windowText" lastClr="000000">
                  <a:hueOff val="0"/>
                  <a:satOff val="0"/>
                  <a:lumOff val="0"/>
                  <a:alphaOff val="0"/>
                </a:sysClr>
              </a:solidFill>
              <a:latin typeface="Calibri"/>
              <a:ea typeface="+mn-ea"/>
              <a:cs typeface="+mn-cs"/>
            </a:rPr>
            <a:t> 1 insufficient efficacy and confusion (day 5)</a:t>
          </a:r>
        </a:p>
      </dgm:t>
    </dgm:pt>
    <dgm:pt modelId="{D1EE686C-65D9-4D5B-8870-9900799FC2BA}" type="parTrans" cxnId="{EE862FDA-847D-4B32-8CB5-EF73CE0E5ED9}">
      <dgm:prSet/>
      <dgm:spPr>
        <a:xfrm rot="1936339">
          <a:off x="696129" y="1477152"/>
          <a:ext cx="1712260" cy="17644"/>
        </a:xfrm>
        <a:custGeom>
          <a:avLst/>
          <a:gdLst/>
          <a:ahLst/>
          <a:cxnLst/>
          <a:rect l="0" t="0" r="0" b="0"/>
          <a:pathLst>
            <a:path>
              <a:moveTo>
                <a:pt x="0" y="8822"/>
              </a:moveTo>
              <a:lnTo>
                <a:pt x="1712260" y="8822"/>
              </a:lnTo>
            </a:path>
          </a:pathLst>
        </a:custGeom>
        <a:noFill/>
        <a:ln w="12700" cap="flat" cmpd="sng" algn="ctr">
          <a:solidFill>
            <a:sysClr val="windowText" lastClr="000000">
              <a:shade val="60000"/>
              <a:hueOff val="0"/>
              <a:satOff val="0"/>
              <a:lumOff val="0"/>
              <a:alphaOff val="0"/>
            </a:sysClr>
          </a:solidFill>
          <a:prstDash val="solid"/>
          <a:miter lim="800000"/>
        </a:ln>
        <a:effectLst/>
      </dgm:spPr>
      <dgm:t>
        <a:bodyPr/>
        <a:lstStyle/>
        <a:p>
          <a:endParaRPr lang="nl-BE">
            <a:solidFill>
              <a:sysClr val="windowText" lastClr="000000">
                <a:hueOff val="0"/>
                <a:satOff val="0"/>
                <a:lumOff val="0"/>
                <a:alphaOff val="0"/>
              </a:sysClr>
            </a:solidFill>
            <a:latin typeface="Calibri"/>
            <a:ea typeface="+mn-ea"/>
            <a:cs typeface="+mn-cs"/>
          </a:endParaRPr>
        </a:p>
      </dgm:t>
    </dgm:pt>
    <dgm:pt modelId="{23E019C8-67D4-45AB-87B9-983CCC2B5F8F}" type="sibTrans" cxnId="{EE862FDA-847D-4B32-8CB5-EF73CE0E5ED9}">
      <dgm:prSet/>
      <dgm:spPr/>
      <dgm:t>
        <a:bodyPr/>
        <a:lstStyle/>
        <a:p>
          <a:endParaRPr lang="nl-BE"/>
        </a:p>
      </dgm:t>
    </dgm:pt>
    <dgm:pt modelId="{D312BBCC-3707-4A32-B2CD-5345FB4F67F1}">
      <dgm:prSet phldrT="[Tekst]"/>
      <dgm:spPr>
        <a:xfrm>
          <a:off x="2276135" y="876482"/>
          <a:ext cx="1943285" cy="380934"/>
        </a:xfrm>
        <a:prstGeom prst="roundRect">
          <a:avLst>
            <a:gd name="adj" fmla="val 10000"/>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r>
            <a:rPr lang="nl-BE">
              <a:solidFill>
                <a:sysClr val="windowText" lastClr="000000">
                  <a:hueOff val="0"/>
                  <a:satOff val="0"/>
                  <a:lumOff val="0"/>
                  <a:alphaOff val="0"/>
                </a:sysClr>
              </a:solidFill>
              <a:latin typeface="Calibri"/>
              <a:ea typeface="+mn-ea"/>
              <a:cs typeface="+mn-cs"/>
            </a:rPr>
            <a:t>3 confusion (day 2, 3 and 6)</a:t>
          </a:r>
        </a:p>
      </dgm:t>
    </dgm:pt>
    <dgm:pt modelId="{4AF3E041-F083-4536-8759-A9D82AA77A07}" type="parTrans" cxnId="{24ECC4FC-278B-48B6-BD26-CBB988A5CB25}">
      <dgm:prSet/>
      <dgm:spPr>
        <a:xfrm rot="90452">
          <a:off x="828134" y="1039077"/>
          <a:ext cx="1448251" cy="17644"/>
        </a:xfrm>
        <a:custGeom>
          <a:avLst/>
          <a:gdLst/>
          <a:ahLst/>
          <a:cxnLst/>
          <a:rect l="0" t="0" r="0" b="0"/>
          <a:pathLst>
            <a:path>
              <a:moveTo>
                <a:pt x="0" y="8822"/>
              </a:moveTo>
              <a:lnTo>
                <a:pt x="1448251" y="8822"/>
              </a:lnTo>
            </a:path>
          </a:pathLst>
        </a:custGeom>
        <a:noFill/>
        <a:ln w="12700" cap="flat" cmpd="sng" algn="ctr">
          <a:solidFill>
            <a:sysClr val="windowText" lastClr="000000">
              <a:shade val="60000"/>
              <a:hueOff val="0"/>
              <a:satOff val="0"/>
              <a:lumOff val="0"/>
              <a:alphaOff val="0"/>
            </a:sysClr>
          </a:solidFill>
          <a:prstDash val="solid"/>
          <a:miter lim="800000"/>
        </a:ln>
        <a:effectLst/>
      </dgm:spPr>
      <dgm:t>
        <a:bodyPr/>
        <a:lstStyle/>
        <a:p>
          <a:endParaRPr lang="nl-BE">
            <a:solidFill>
              <a:sysClr val="windowText" lastClr="000000">
                <a:hueOff val="0"/>
                <a:satOff val="0"/>
                <a:lumOff val="0"/>
                <a:alphaOff val="0"/>
              </a:sysClr>
            </a:solidFill>
            <a:latin typeface="Calibri"/>
            <a:ea typeface="+mn-ea"/>
            <a:cs typeface="+mn-cs"/>
          </a:endParaRPr>
        </a:p>
      </dgm:t>
    </dgm:pt>
    <dgm:pt modelId="{7320D6AD-632B-43B0-AD34-1E9ECACEB910}" type="sibTrans" cxnId="{24ECC4FC-278B-48B6-BD26-CBB988A5CB25}">
      <dgm:prSet/>
      <dgm:spPr/>
      <dgm:t>
        <a:bodyPr/>
        <a:lstStyle/>
        <a:p>
          <a:endParaRPr lang="nl-BE"/>
        </a:p>
      </dgm:t>
    </dgm:pt>
    <dgm:pt modelId="{C9423139-97BB-4300-8C0D-CE79375721A0}">
      <dgm:prSet phldrT="[Tekst]"/>
      <dgm:spPr>
        <a:xfrm>
          <a:off x="2276135" y="1314557"/>
          <a:ext cx="1962332" cy="380934"/>
        </a:xfrm>
        <a:prstGeom prst="roundRect">
          <a:avLst>
            <a:gd name="adj" fmla="val 10000"/>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r>
            <a:rPr lang="nl-BE">
              <a:solidFill>
                <a:sysClr val="windowText" lastClr="000000">
                  <a:hueOff val="0"/>
                  <a:satOff val="0"/>
                  <a:lumOff val="0"/>
                  <a:alphaOff val="0"/>
                </a:sysClr>
              </a:solidFill>
              <a:latin typeface="Calibri"/>
              <a:ea typeface="+mn-ea"/>
              <a:cs typeface="+mn-cs"/>
            </a:rPr>
            <a:t>1 insufficient efficacy (day 6)</a:t>
          </a:r>
        </a:p>
      </dgm:t>
    </dgm:pt>
    <dgm:pt modelId="{A058AB5B-1312-4D8F-B743-89A123FDC6AA}" type="parTrans" cxnId="{F4235198-AAC1-4F10-9718-8A432DBD2A53}">
      <dgm:prSet/>
      <dgm:spPr>
        <a:xfrm rot="1092386">
          <a:off x="790235" y="1258114"/>
          <a:ext cx="1524049" cy="17644"/>
        </a:xfrm>
        <a:custGeom>
          <a:avLst/>
          <a:gdLst/>
          <a:ahLst/>
          <a:cxnLst/>
          <a:rect l="0" t="0" r="0" b="0"/>
          <a:pathLst>
            <a:path>
              <a:moveTo>
                <a:pt x="0" y="8822"/>
              </a:moveTo>
              <a:lnTo>
                <a:pt x="1524049" y="8822"/>
              </a:lnTo>
            </a:path>
          </a:pathLst>
        </a:custGeom>
        <a:noFill/>
        <a:ln w="12700" cap="flat" cmpd="sng" algn="ctr">
          <a:solidFill>
            <a:sysClr val="windowText" lastClr="000000">
              <a:shade val="60000"/>
              <a:hueOff val="0"/>
              <a:satOff val="0"/>
              <a:lumOff val="0"/>
              <a:alphaOff val="0"/>
            </a:sysClr>
          </a:solidFill>
          <a:prstDash val="solid"/>
          <a:miter lim="800000"/>
        </a:ln>
        <a:effectLst/>
      </dgm:spPr>
      <dgm:t>
        <a:bodyPr/>
        <a:lstStyle/>
        <a:p>
          <a:endParaRPr lang="nl-BE">
            <a:solidFill>
              <a:sysClr val="windowText" lastClr="000000">
                <a:hueOff val="0"/>
                <a:satOff val="0"/>
                <a:lumOff val="0"/>
                <a:alphaOff val="0"/>
              </a:sysClr>
            </a:solidFill>
            <a:latin typeface="Calibri"/>
            <a:ea typeface="+mn-ea"/>
            <a:cs typeface="+mn-cs"/>
          </a:endParaRPr>
        </a:p>
      </dgm:t>
    </dgm:pt>
    <dgm:pt modelId="{00DA17E5-9467-4E32-AE91-7B880767620B}" type="sibTrans" cxnId="{F4235198-AAC1-4F10-9718-8A432DBD2A53}">
      <dgm:prSet/>
      <dgm:spPr/>
      <dgm:t>
        <a:bodyPr/>
        <a:lstStyle/>
        <a:p>
          <a:endParaRPr lang="nl-BE"/>
        </a:p>
      </dgm:t>
    </dgm:pt>
    <dgm:pt modelId="{57C911DE-7841-4244-AB31-55DD85ACBEF2}">
      <dgm:prSet phldrT="[Tekst]"/>
      <dgm:spPr>
        <a:xfrm>
          <a:off x="2276135" y="3066857"/>
          <a:ext cx="2000746" cy="380934"/>
        </a:xfrm>
        <a:prstGeom prst="roundRect">
          <a:avLst>
            <a:gd name="adj" fmla="val 10000"/>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r>
            <a:rPr lang="nl-BE">
              <a:solidFill>
                <a:sysClr val="windowText" lastClr="000000">
                  <a:hueOff val="0"/>
                  <a:satOff val="0"/>
                  <a:lumOff val="0"/>
                  <a:alphaOff val="0"/>
                </a:sysClr>
              </a:solidFill>
              <a:latin typeface="Calibri"/>
              <a:ea typeface="+mn-ea"/>
              <a:cs typeface="+mn-cs"/>
            </a:rPr>
            <a:t>1 unspecified (day 3)</a:t>
          </a:r>
        </a:p>
      </dgm:t>
    </dgm:pt>
    <dgm:pt modelId="{D469E822-DD4E-4DC9-A4CC-C46B81E9CD27}" type="parTrans" cxnId="{907AA8DD-A6F7-4806-8B2E-9D25B83624AD}">
      <dgm:prSet/>
      <dgm:spPr>
        <a:xfrm rot="895831">
          <a:off x="822479" y="3058022"/>
          <a:ext cx="1478615" cy="17644"/>
        </a:xfrm>
        <a:custGeom>
          <a:avLst/>
          <a:gdLst/>
          <a:ahLst/>
          <a:cxnLst/>
          <a:rect l="0" t="0" r="0" b="0"/>
          <a:pathLst>
            <a:path>
              <a:moveTo>
                <a:pt x="0" y="8822"/>
              </a:moveTo>
              <a:lnTo>
                <a:pt x="1478615" y="8822"/>
              </a:lnTo>
            </a:path>
          </a:pathLst>
        </a:custGeom>
        <a:noFill/>
        <a:ln w="12700" cap="flat" cmpd="sng" algn="ctr">
          <a:solidFill>
            <a:sysClr val="windowText" lastClr="000000">
              <a:shade val="60000"/>
              <a:hueOff val="0"/>
              <a:satOff val="0"/>
              <a:lumOff val="0"/>
              <a:alphaOff val="0"/>
            </a:sysClr>
          </a:solidFill>
          <a:prstDash val="solid"/>
          <a:miter lim="800000"/>
        </a:ln>
        <a:effectLst/>
      </dgm:spPr>
      <dgm:t>
        <a:bodyPr/>
        <a:lstStyle/>
        <a:p>
          <a:endParaRPr lang="nl-BE">
            <a:solidFill>
              <a:sysClr val="windowText" lastClr="000000">
                <a:hueOff val="0"/>
                <a:satOff val="0"/>
                <a:lumOff val="0"/>
                <a:alphaOff val="0"/>
              </a:sysClr>
            </a:solidFill>
            <a:latin typeface="Calibri"/>
            <a:ea typeface="+mn-ea"/>
            <a:cs typeface="+mn-cs"/>
          </a:endParaRPr>
        </a:p>
      </dgm:t>
    </dgm:pt>
    <dgm:pt modelId="{FB67E680-7D39-430B-864A-F2B8DDEB2BD9}" type="sibTrans" cxnId="{907AA8DD-A6F7-4806-8B2E-9D25B83624AD}">
      <dgm:prSet/>
      <dgm:spPr/>
      <dgm:t>
        <a:bodyPr/>
        <a:lstStyle/>
        <a:p>
          <a:endParaRPr lang="nl-BE"/>
        </a:p>
      </dgm:t>
    </dgm:pt>
    <dgm:pt modelId="{59F23E58-250C-4825-8269-732C8D6B4613}">
      <dgm:prSet phldrT="[Tekst]"/>
      <dgm:spPr>
        <a:xfrm>
          <a:off x="2276135" y="3504933"/>
          <a:ext cx="2000121" cy="380934"/>
        </a:xfrm>
        <a:prstGeom prst="roundRect">
          <a:avLst>
            <a:gd name="adj" fmla="val 10000"/>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r>
            <a:rPr lang="nl-BE">
              <a:solidFill>
                <a:sysClr val="windowText" lastClr="000000">
                  <a:hueOff val="0"/>
                  <a:satOff val="0"/>
                  <a:lumOff val="0"/>
                  <a:alphaOff val="0"/>
                </a:sysClr>
              </a:solidFill>
              <a:latin typeface="Calibri"/>
              <a:ea typeface="+mn-ea"/>
              <a:cs typeface="+mn-cs"/>
            </a:rPr>
            <a:t>1 discharge, no more need (day 7)</a:t>
          </a:r>
        </a:p>
      </dgm:t>
    </dgm:pt>
    <dgm:pt modelId="{58950747-24BF-4E2F-8EB4-1D7D2BAE372C}" type="parTrans" cxnId="{BB930228-9B70-4080-B1E8-8FFEFFB5FEA7}">
      <dgm:prSet/>
      <dgm:spPr>
        <a:xfrm rot="1789476">
          <a:off x="738380" y="3277060"/>
          <a:ext cx="1646813" cy="17644"/>
        </a:xfrm>
        <a:custGeom>
          <a:avLst/>
          <a:gdLst/>
          <a:ahLst/>
          <a:cxnLst/>
          <a:rect l="0" t="0" r="0" b="0"/>
          <a:pathLst>
            <a:path>
              <a:moveTo>
                <a:pt x="0" y="8822"/>
              </a:moveTo>
              <a:lnTo>
                <a:pt x="1646813" y="8822"/>
              </a:lnTo>
            </a:path>
          </a:pathLst>
        </a:custGeom>
        <a:noFill/>
        <a:ln w="12700" cap="flat" cmpd="sng" algn="ctr">
          <a:solidFill>
            <a:sysClr val="windowText" lastClr="000000">
              <a:shade val="60000"/>
              <a:hueOff val="0"/>
              <a:satOff val="0"/>
              <a:lumOff val="0"/>
              <a:alphaOff val="0"/>
            </a:sysClr>
          </a:solidFill>
          <a:prstDash val="solid"/>
          <a:miter lim="800000"/>
        </a:ln>
        <a:effectLst/>
      </dgm:spPr>
      <dgm:t>
        <a:bodyPr/>
        <a:lstStyle/>
        <a:p>
          <a:endParaRPr lang="nl-BE">
            <a:solidFill>
              <a:sysClr val="windowText" lastClr="000000">
                <a:hueOff val="0"/>
                <a:satOff val="0"/>
                <a:lumOff val="0"/>
                <a:alphaOff val="0"/>
              </a:sysClr>
            </a:solidFill>
            <a:latin typeface="Calibri"/>
            <a:ea typeface="+mn-ea"/>
            <a:cs typeface="+mn-cs"/>
          </a:endParaRPr>
        </a:p>
      </dgm:t>
    </dgm:pt>
    <dgm:pt modelId="{44DA2A93-DD57-4226-BE02-41BAF248F829}" type="sibTrans" cxnId="{BB930228-9B70-4080-B1E8-8FFEFFB5FEA7}">
      <dgm:prSet/>
      <dgm:spPr/>
      <dgm:t>
        <a:bodyPr/>
        <a:lstStyle/>
        <a:p>
          <a:endParaRPr lang="nl-BE"/>
        </a:p>
      </dgm:t>
    </dgm:pt>
    <dgm:pt modelId="{DCE70A5E-086E-4A03-92FF-058FE9373BEF}" type="pres">
      <dgm:prSet presAssocID="{01C394B4-EE68-4ACB-B36B-4AB2F0CECB80}" presName="diagram" presStyleCnt="0">
        <dgm:presLayoutVars>
          <dgm:chPref val="1"/>
          <dgm:dir/>
          <dgm:animOne val="branch"/>
          <dgm:animLvl val="lvl"/>
          <dgm:resizeHandles val="exact"/>
        </dgm:presLayoutVars>
      </dgm:prSet>
      <dgm:spPr/>
      <dgm:t>
        <a:bodyPr/>
        <a:lstStyle/>
        <a:p>
          <a:endParaRPr lang="nl-BE"/>
        </a:p>
      </dgm:t>
    </dgm:pt>
    <dgm:pt modelId="{4CF875FE-28FB-4283-9B74-4D16CD97316E}" type="pres">
      <dgm:prSet presAssocID="{46DC3E59-C492-4D90-94EA-367A80B7B097}" presName="root1" presStyleCnt="0"/>
      <dgm:spPr/>
    </dgm:pt>
    <dgm:pt modelId="{F9101801-DCCE-4E4F-B2EE-761A31CACFB0}" type="pres">
      <dgm:prSet presAssocID="{46DC3E59-C492-4D90-94EA-367A80B7B097}" presName="LevelOneTextNode" presStyleLbl="node0" presStyleIdx="0" presStyleCnt="2" custLinFactX="-50026" custLinFactNeighborX="-100000" custLinFactNeighborY="-10002">
        <dgm:presLayoutVars>
          <dgm:chPref val="3"/>
        </dgm:presLayoutVars>
      </dgm:prSet>
      <dgm:spPr>
        <a:prstGeom prst="roundRect">
          <a:avLst>
            <a:gd name="adj" fmla="val 10000"/>
          </a:avLst>
        </a:prstGeom>
      </dgm:spPr>
      <dgm:t>
        <a:bodyPr/>
        <a:lstStyle/>
        <a:p>
          <a:endParaRPr lang="nl-BE"/>
        </a:p>
      </dgm:t>
    </dgm:pt>
    <dgm:pt modelId="{E58983D3-6DD3-4DF6-8F99-5C4F9D381CB1}" type="pres">
      <dgm:prSet presAssocID="{46DC3E59-C492-4D90-94EA-367A80B7B097}" presName="level2hierChild" presStyleCnt="0"/>
      <dgm:spPr/>
    </dgm:pt>
    <dgm:pt modelId="{DF191E41-7B83-4037-8730-14D76EF0D314}" type="pres">
      <dgm:prSet presAssocID="{D89A0DDF-E0EB-48DA-8796-09B9812251DD}" presName="conn2-1" presStyleLbl="parChTrans1D2" presStyleIdx="0" presStyleCnt="9"/>
      <dgm:spPr>
        <a:custGeom>
          <a:avLst/>
          <a:gdLst/>
          <a:ahLst/>
          <a:cxnLst/>
          <a:rect l="0" t="0" r="0" b="0"/>
          <a:pathLst>
            <a:path>
              <a:moveTo>
                <a:pt x="0" y="8822"/>
              </a:moveTo>
              <a:lnTo>
                <a:pt x="1672814" y="8822"/>
              </a:lnTo>
            </a:path>
          </a:pathLst>
        </a:custGeom>
      </dgm:spPr>
      <dgm:t>
        <a:bodyPr/>
        <a:lstStyle/>
        <a:p>
          <a:endParaRPr lang="nl-BE"/>
        </a:p>
      </dgm:t>
    </dgm:pt>
    <dgm:pt modelId="{0287445A-BDC3-4E8D-8F8A-A72064F222D5}" type="pres">
      <dgm:prSet presAssocID="{D89A0DDF-E0EB-48DA-8796-09B9812251DD}" presName="connTx" presStyleLbl="parChTrans1D2" presStyleIdx="0" presStyleCnt="9"/>
      <dgm:spPr/>
      <dgm:t>
        <a:bodyPr/>
        <a:lstStyle/>
        <a:p>
          <a:endParaRPr lang="nl-BE"/>
        </a:p>
      </dgm:t>
    </dgm:pt>
    <dgm:pt modelId="{76264788-5FE9-4010-9951-E3ED2F746DE1}" type="pres">
      <dgm:prSet presAssocID="{6389DA28-C44C-4857-9B12-0BC43DE9A613}" presName="root2" presStyleCnt="0"/>
      <dgm:spPr/>
    </dgm:pt>
    <dgm:pt modelId="{89BA2E30-0336-48B9-A4EA-17F174AAF1A8}" type="pres">
      <dgm:prSet presAssocID="{6389DA28-C44C-4857-9B12-0BC43DE9A613}" presName="LevelTwoTextNode" presStyleLbl="node2" presStyleIdx="0" presStyleCnt="9" custScaleX="257568">
        <dgm:presLayoutVars>
          <dgm:chPref val="3"/>
        </dgm:presLayoutVars>
      </dgm:prSet>
      <dgm:spPr>
        <a:prstGeom prst="roundRect">
          <a:avLst>
            <a:gd name="adj" fmla="val 10000"/>
          </a:avLst>
        </a:prstGeom>
      </dgm:spPr>
      <dgm:t>
        <a:bodyPr/>
        <a:lstStyle/>
        <a:p>
          <a:endParaRPr lang="nl-BE"/>
        </a:p>
      </dgm:t>
    </dgm:pt>
    <dgm:pt modelId="{DB5B4828-6B9A-4A46-86FA-3F1BB3D96297}" type="pres">
      <dgm:prSet presAssocID="{6389DA28-C44C-4857-9B12-0BC43DE9A613}" presName="level3hierChild" presStyleCnt="0"/>
      <dgm:spPr/>
    </dgm:pt>
    <dgm:pt modelId="{00957931-99C3-4D2F-9494-061F6D0E5732}" type="pres">
      <dgm:prSet presAssocID="{DADF459E-149D-46FC-A9F8-C448D8E21559}" presName="conn2-1" presStyleLbl="parChTrans1D2" presStyleIdx="1" presStyleCnt="9"/>
      <dgm:spPr>
        <a:custGeom>
          <a:avLst/>
          <a:gdLst/>
          <a:ahLst/>
          <a:cxnLst/>
          <a:rect l="0" t="0" r="0" b="0"/>
          <a:pathLst>
            <a:path>
              <a:moveTo>
                <a:pt x="0" y="8822"/>
              </a:moveTo>
              <a:lnTo>
                <a:pt x="1501985" y="8822"/>
              </a:lnTo>
            </a:path>
          </a:pathLst>
        </a:custGeom>
      </dgm:spPr>
      <dgm:t>
        <a:bodyPr/>
        <a:lstStyle/>
        <a:p>
          <a:endParaRPr lang="nl-BE"/>
        </a:p>
      </dgm:t>
    </dgm:pt>
    <dgm:pt modelId="{7AF8425D-3D21-46CE-8E23-BEF356FD7429}" type="pres">
      <dgm:prSet presAssocID="{DADF459E-149D-46FC-A9F8-C448D8E21559}" presName="connTx" presStyleLbl="parChTrans1D2" presStyleIdx="1" presStyleCnt="9"/>
      <dgm:spPr/>
      <dgm:t>
        <a:bodyPr/>
        <a:lstStyle/>
        <a:p>
          <a:endParaRPr lang="nl-BE"/>
        </a:p>
      </dgm:t>
    </dgm:pt>
    <dgm:pt modelId="{1211FEB4-4D57-4952-B462-0AC4BB5F6568}" type="pres">
      <dgm:prSet presAssocID="{F3484646-121A-4C85-B439-3F9F57E68263}" presName="root2" presStyleCnt="0"/>
      <dgm:spPr/>
    </dgm:pt>
    <dgm:pt modelId="{025BB697-9F83-4C2E-895B-5CE575163374}" type="pres">
      <dgm:prSet presAssocID="{F3484646-121A-4C85-B439-3F9F57E68263}" presName="LevelTwoTextNode" presStyleLbl="node2" presStyleIdx="1" presStyleCnt="9" custScaleX="257568">
        <dgm:presLayoutVars>
          <dgm:chPref val="3"/>
        </dgm:presLayoutVars>
      </dgm:prSet>
      <dgm:spPr>
        <a:prstGeom prst="roundRect">
          <a:avLst>
            <a:gd name="adj" fmla="val 10000"/>
          </a:avLst>
        </a:prstGeom>
      </dgm:spPr>
      <dgm:t>
        <a:bodyPr/>
        <a:lstStyle/>
        <a:p>
          <a:endParaRPr lang="nl-BE"/>
        </a:p>
      </dgm:t>
    </dgm:pt>
    <dgm:pt modelId="{6FD8A51F-6FA5-4020-B396-3E19840BE730}" type="pres">
      <dgm:prSet presAssocID="{F3484646-121A-4C85-B439-3F9F57E68263}" presName="level3hierChild" presStyleCnt="0"/>
      <dgm:spPr/>
    </dgm:pt>
    <dgm:pt modelId="{3C8F1C6D-F93F-4A27-A7C7-A750E6C5AE1A}" type="pres">
      <dgm:prSet presAssocID="{4AF3E041-F083-4536-8759-A9D82AA77A07}" presName="conn2-1" presStyleLbl="parChTrans1D2" presStyleIdx="2" presStyleCnt="9"/>
      <dgm:spPr>
        <a:custGeom>
          <a:avLst/>
          <a:gdLst/>
          <a:ahLst/>
          <a:cxnLst/>
          <a:rect l="0" t="0" r="0" b="0"/>
          <a:pathLst>
            <a:path>
              <a:moveTo>
                <a:pt x="0" y="8822"/>
              </a:moveTo>
              <a:lnTo>
                <a:pt x="1448251" y="8822"/>
              </a:lnTo>
            </a:path>
          </a:pathLst>
        </a:custGeom>
      </dgm:spPr>
      <dgm:t>
        <a:bodyPr/>
        <a:lstStyle/>
        <a:p>
          <a:endParaRPr lang="nl-BE"/>
        </a:p>
      </dgm:t>
    </dgm:pt>
    <dgm:pt modelId="{2671BEBE-2E8B-4E3A-BB36-EA614D87EE37}" type="pres">
      <dgm:prSet presAssocID="{4AF3E041-F083-4536-8759-A9D82AA77A07}" presName="connTx" presStyleLbl="parChTrans1D2" presStyleIdx="2" presStyleCnt="9"/>
      <dgm:spPr/>
      <dgm:t>
        <a:bodyPr/>
        <a:lstStyle/>
        <a:p>
          <a:endParaRPr lang="nl-BE"/>
        </a:p>
      </dgm:t>
    </dgm:pt>
    <dgm:pt modelId="{6A4587E2-64A4-4560-BAC1-5CD42E26761A}" type="pres">
      <dgm:prSet presAssocID="{D312BBCC-3707-4A32-B2CD-5345FB4F67F1}" presName="root2" presStyleCnt="0"/>
      <dgm:spPr/>
    </dgm:pt>
    <dgm:pt modelId="{447A96F9-691C-46E9-B44B-CE7934762D12}" type="pres">
      <dgm:prSet presAssocID="{D312BBCC-3707-4A32-B2CD-5345FB4F67F1}" presName="LevelTwoTextNode" presStyleLbl="node2" presStyleIdx="2" presStyleCnt="9" custScaleX="255068">
        <dgm:presLayoutVars>
          <dgm:chPref val="3"/>
        </dgm:presLayoutVars>
      </dgm:prSet>
      <dgm:spPr>
        <a:prstGeom prst="roundRect">
          <a:avLst>
            <a:gd name="adj" fmla="val 10000"/>
          </a:avLst>
        </a:prstGeom>
      </dgm:spPr>
      <dgm:t>
        <a:bodyPr/>
        <a:lstStyle/>
        <a:p>
          <a:endParaRPr lang="nl-BE"/>
        </a:p>
      </dgm:t>
    </dgm:pt>
    <dgm:pt modelId="{47D55A2B-99BD-4811-ADF6-A9BD92D75A2A}" type="pres">
      <dgm:prSet presAssocID="{D312BBCC-3707-4A32-B2CD-5345FB4F67F1}" presName="level3hierChild" presStyleCnt="0"/>
      <dgm:spPr/>
    </dgm:pt>
    <dgm:pt modelId="{774D970C-506E-4FDA-8691-027E14120CB5}" type="pres">
      <dgm:prSet presAssocID="{A058AB5B-1312-4D8F-B743-89A123FDC6AA}" presName="conn2-1" presStyleLbl="parChTrans1D2" presStyleIdx="3" presStyleCnt="9"/>
      <dgm:spPr>
        <a:custGeom>
          <a:avLst/>
          <a:gdLst/>
          <a:ahLst/>
          <a:cxnLst/>
          <a:rect l="0" t="0" r="0" b="0"/>
          <a:pathLst>
            <a:path>
              <a:moveTo>
                <a:pt x="0" y="8822"/>
              </a:moveTo>
              <a:lnTo>
                <a:pt x="1524049" y="8822"/>
              </a:lnTo>
            </a:path>
          </a:pathLst>
        </a:custGeom>
      </dgm:spPr>
      <dgm:t>
        <a:bodyPr/>
        <a:lstStyle/>
        <a:p>
          <a:endParaRPr lang="nl-BE"/>
        </a:p>
      </dgm:t>
    </dgm:pt>
    <dgm:pt modelId="{A027C093-548D-48C1-8F05-5A013FEC15C0}" type="pres">
      <dgm:prSet presAssocID="{A058AB5B-1312-4D8F-B743-89A123FDC6AA}" presName="connTx" presStyleLbl="parChTrans1D2" presStyleIdx="3" presStyleCnt="9"/>
      <dgm:spPr/>
      <dgm:t>
        <a:bodyPr/>
        <a:lstStyle/>
        <a:p>
          <a:endParaRPr lang="nl-BE"/>
        </a:p>
      </dgm:t>
    </dgm:pt>
    <dgm:pt modelId="{A5CAE2DA-22A0-4105-8E4B-CB7C1AB4DF8D}" type="pres">
      <dgm:prSet presAssocID="{C9423139-97BB-4300-8C0D-CE79375721A0}" presName="root2" presStyleCnt="0"/>
      <dgm:spPr/>
    </dgm:pt>
    <dgm:pt modelId="{3556F7D8-E962-4A60-950B-4F3D67F4CF8C}" type="pres">
      <dgm:prSet presAssocID="{C9423139-97BB-4300-8C0D-CE79375721A0}" presName="LevelTwoTextNode" presStyleLbl="node2" presStyleIdx="3" presStyleCnt="9" custScaleX="257568">
        <dgm:presLayoutVars>
          <dgm:chPref val="3"/>
        </dgm:presLayoutVars>
      </dgm:prSet>
      <dgm:spPr>
        <a:prstGeom prst="roundRect">
          <a:avLst>
            <a:gd name="adj" fmla="val 10000"/>
          </a:avLst>
        </a:prstGeom>
      </dgm:spPr>
      <dgm:t>
        <a:bodyPr/>
        <a:lstStyle/>
        <a:p>
          <a:endParaRPr lang="nl-BE"/>
        </a:p>
      </dgm:t>
    </dgm:pt>
    <dgm:pt modelId="{1233079B-DF82-4831-B48F-BC001A31F5B0}" type="pres">
      <dgm:prSet presAssocID="{C9423139-97BB-4300-8C0D-CE79375721A0}" presName="level3hierChild" presStyleCnt="0"/>
      <dgm:spPr/>
    </dgm:pt>
    <dgm:pt modelId="{C2A53E23-8154-484D-B7FB-7405681A4090}" type="pres">
      <dgm:prSet presAssocID="{D1EE686C-65D9-4D5B-8870-9900799FC2BA}" presName="conn2-1" presStyleLbl="parChTrans1D2" presStyleIdx="4" presStyleCnt="9"/>
      <dgm:spPr>
        <a:custGeom>
          <a:avLst/>
          <a:gdLst/>
          <a:ahLst/>
          <a:cxnLst/>
          <a:rect l="0" t="0" r="0" b="0"/>
          <a:pathLst>
            <a:path>
              <a:moveTo>
                <a:pt x="0" y="8822"/>
              </a:moveTo>
              <a:lnTo>
                <a:pt x="1712260" y="8822"/>
              </a:lnTo>
            </a:path>
          </a:pathLst>
        </a:custGeom>
      </dgm:spPr>
      <dgm:t>
        <a:bodyPr/>
        <a:lstStyle/>
        <a:p>
          <a:endParaRPr lang="nl-BE"/>
        </a:p>
      </dgm:t>
    </dgm:pt>
    <dgm:pt modelId="{F0262BD5-5E98-4E02-84E7-714BDD2643A6}" type="pres">
      <dgm:prSet presAssocID="{D1EE686C-65D9-4D5B-8870-9900799FC2BA}" presName="connTx" presStyleLbl="parChTrans1D2" presStyleIdx="4" presStyleCnt="9"/>
      <dgm:spPr/>
      <dgm:t>
        <a:bodyPr/>
        <a:lstStyle/>
        <a:p>
          <a:endParaRPr lang="nl-BE"/>
        </a:p>
      </dgm:t>
    </dgm:pt>
    <dgm:pt modelId="{EE3B852B-3F6C-4376-B061-6B42E70521AA}" type="pres">
      <dgm:prSet presAssocID="{8A70B62F-67B5-419E-91AF-A647E066C219}" presName="root2" presStyleCnt="0"/>
      <dgm:spPr/>
    </dgm:pt>
    <dgm:pt modelId="{DD38803A-7C77-4954-AE03-5288EC82993F}" type="pres">
      <dgm:prSet presAssocID="{8A70B62F-67B5-419E-91AF-A647E066C219}" presName="LevelTwoTextNode" presStyleLbl="node2" presStyleIdx="4" presStyleCnt="9" custScaleX="257527">
        <dgm:presLayoutVars>
          <dgm:chPref val="3"/>
        </dgm:presLayoutVars>
      </dgm:prSet>
      <dgm:spPr>
        <a:prstGeom prst="roundRect">
          <a:avLst>
            <a:gd name="adj" fmla="val 10000"/>
          </a:avLst>
        </a:prstGeom>
      </dgm:spPr>
      <dgm:t>
        <a:bodyPr/>
        <a:lstStyle/>
        <a:p>
          <a:endParaRPr lang="nl-BE"/>
        </a:p>
      </dgm:t>
    </dgm:pt>
    <dgm:pt modelId="{046AF0B5-30C9-4B5F-A900-C098961F95DB}" type="pres">
      <dgm:prSet presAssocID="{8A70B62F-67B5-419E-91AF-A647E066C219}" presName="level3hierChild" presStyleCnt="0"/>
      <dgm:spPr/>
    </dgm:pt>
    <dgm:pt modelId="{DEB0D45B-BF0C-4741-9384-3CF7D672FA30}" type="pres">
      <dgm:prSet presAssocID="{BDD2C5A6-CB41-46A0-B741-427B4EE72402}" presName="root1" presStyleCnt="0"/>
      <dgm:spPr/>
    </dgm:pt>
    <dgm:pt modelId="{ACE92B6B-70FC-4087-8805-86BADCADD7D2}" type="pres">
      <dgm:prSet presAssocID="{BDD2C5A6-CB41-46A0-B741-427B4EE72402}" presName="LevelOneTextNode" presStyleLbl="node0" presStyleIdx="1" presStyleCnt="2" custLinFactX="-47525" custLinFactNeighborX="-100000" custLinFactNeighborY="-42507">
        <dgm:presLayoutVars>
          <dgm:chPref val="3"/>
        </dgm:presLayoutVars>
      </dgm:prSet>
      <dgm:spPr>
        <a:prstGeom prst="roundRect">
          <a:avLst>
            <a:gd name="adj" fmla="val 10000"/>
          </a:avLst>
        </a:prstGeom>
      </dgm:spPr>
      <dgm:t>
        <a:bodyPr/>
        <a:lstStyle/>
        <a:p>
          <a:endParaRPr lang="nl-BE"/>
        </a:p>
      </dgm:t>
    </dgm:pt>
    <dgm:pt modelId="{E42785FC-A90A-4A4C-BBB1-6ACE5B212771}" type="pres">
      <dgm:prSet presAssocID="{BDD2C5A6-CB41-46A0-B741-427B4EE72402}" presName="level2hierChild" presStyleCnt="0"/>
      <dgm:spPr/>
    </dgm:pt>
    <dgm:pt modelId="{6C34EF6B-562A-4269-B1F5-E742F17A545C}" type="pres">
      <dgm:prSet presAssocID="{19FD8AE9-CB45-42DB-A5E3-74B7990D4646}" presName="conn2-1" presStyleLbl="parChTrans1D2" presStyleIdx="5" presStyleCnt="9"/>
      <dgm:spPr>
        <a:custGeom>
          <a:avLst/>
          <a:gdLst/>
          <a:ahLst/>
          <a:cxnLst/>
          <a:rect l="0" t="0" r="0" b="0"/>
          <a:pathLst>
            <a:path>
              <a:moveTo>
                <a:pt x="0" y="8822"/>
              </a:moveTo>
              <a:lnTo>
                <a:pt x="1512079" y="8822"/>
              </a:lnTo>
            </a:path>
          </a:pathLst>
        </a:custGeom>
      </dgm:spPr>
      <dgm:t>
        <a:bodyPr/>
        <a:lstStyle/>
        <a:p>
          <a:endParaRPr lang="nl-BE"/>
        </a:p>
      </dgm:t>
    </dgm:pt>
    <dgm:pt modelId="{257FE2FF-38AD-4586-BA58-0823B40A1D27}" type="pres">
      <dgm:prSet presAssocID="{19FD8AE9-CB45-42DB-A5E3-74B7990D4646}" presName="connTx" presStyleLbl="parChTrans1D2" presStyleIdx="5" presStyleCnt="9"/>
      <dgm:spPr/>
      <dgm:t>
        <a:bodyPr/>
        <a:lstStyle/>
        <a:p>
          <a:endParaRPr lang="nl-BE"/>
        </a:p>
      </dgm:t>
    </dgm:pt>
    <dgm:pt modelId="{427A770B-31E6-410F-9164-DF12B7389B48}" type="pres">
      <dgm:prSet presAssocID="{284A5F14-EE77-449E-A981-550FA06B7801}" presName="root2" presStyleCnt="0"/>
      <dgm:spPr/>
    </dgm:pt>
    <dgm:pt modelId="{6AC215E7-2EF2-4B06-AACB-F59287687AC7}" type="pres">
      <dgm:prSet presAssocID="{284A5F14-EE77-449E-A981-550FA06B7801}" presName="LevelTwoTextNode" presStyleLbl="node2" presStyleIdx="5" presStyleCnt="9" custScaleX="260069">
        <dgm:presLayoutVars>
          <dgm:chPref val="3"/>
        </dgm:presLayoutVars>
      </dgm:prSet>
      <dgm:spPr>
        <a:prstGeom prst="roundRect">
          <a:avLst>
            <a:gd name="adj" fmla="val 10000"/>
          </a:avLst>
        </a:prstGeom>
      </dgm:spPr>
      <dgm:t>
        <a:bodyPr/>
        <a:lstStyle/>
        <a:p>
          <a:endParaRPr lang="nl-BE"/>
        </a:p>
      </dgm:t>
    </dgm:pt>
    <dgm:pt modelId="{8053E652-097F-4F7F-98BB-557CD17DCF22}" type="pres">
      <dgm:prSet presAssocID="{284A5F14-EE77-449E-A981-550FA06B7801}" presName="level3hierChild" presStyleCnt="0"/>
      <dgm:spPr/>
    </dgm:pt>
    <dgm:pt modelId="{5EF3D0C0-633A-4402-91DD-9089B7A01600}" type="pres">
      <dgm:prSet presAssocID="{4D797B49-45E4-41F1-AF2E-FB42D4413913}" presName="conn2-1" presStyleLbl="parChTrans1D2" presStyleIdx="6" presStyleCnt="9"/>
      <dgm:spPr>
        <a:custGeom>
          <a:avLst/>
          <a:gdLst/>
          <a:ahLst/>
          <a:cxnLst/>
          <a:rect l="0" t="0" r="0" b="0"/>
          <a:pathLst>
            <a:path>
              <a:moveTo>
                <a:pt x="0" y="8822"/>
              </a:moveTo>
              <a:lnTo>
                <a:pt x="1429837" y="8822"/>
              </a:lnTo>
            </a:path>
          </a:pathLst>
        </a:custGeom>
      </dgm:spPr>
      <dgm:t>
        <a:bodyPr/>
        <a:lstStyle/>
        <a:p>
          <a:endParaRPr lang="nl-BE"/>
        </a:p>
      </dgm:t>
    </dgm:pt>
    <dgm:pt modelId="{7043E1A3-D793-4EA7-9B5B-99A1789BE703}" type="pres">
      <dgm:prSet presAssocID="{4D797B49-45E4-41F1-AF2E-FB42D4413913}" presName="connTx" presStyleLbl="parChTrans1D2" presStyleIdx="6" presStyleCnt="9"/>
      <dgm:spPr/>
      <dgm:t>
        <a:bodyPr/>
        <a:lstStyle/>
        <a:p>
          <a:endParaRPr lang="nl-BE"/>
        </a:p>
      </dgm:t>
    </dgm:pt>
    <dgm:pt modelId="{AEE948B0-DF10-40F6-890C-E173E7451D37}" type="pres">
      <dgm:prSet presAssocID="{D2CF82F5-2B00-4FA9-94E1-B32E7E9469AD}" presName="root2" presStyleCnt="0"/>
      <dgm:spPr/>
    </dgm:pt>
    <dgm:pt modelId="{530E9F51-FAA3-4AF1-A897-19E558C39257}" type="pres">
      <dgm:prSet presAssocID="{D2CF82F5-2B00-4FA9-94E1-B32E7E9469AD}" presName="LevelTwoTextNode" presStyleLbl="node2" presStyleIdx="6" presStyleCnt="9" custScaleX="262569">
        <dgm:presLayoutVars>
          <dgm:chPref val="3"/>
        </dgm:presLayoutVars>
      </dgm:prSet>
      <dgm:spPr>
        <a:prstGeom prst="roundRect">
          <a:avLst>
            <a:gd name="adj" fmla="val 10000"/>
          </a:avLst>
        </a:prstGeom>
      </dgm:spPr>
      <dgm:t>
        <a:bodyPr/>
        <a:lstStyle/>
        <a:p>
          <a:endParaRPr lang="nl-BE"/>
        </a:p>
      </dgm:t>
    </dgm:pt>
    <dgm:pt modelId="{1C740990-C901-4874-B81F-FC0A95629C55}" type="pres">
      <dgm:prSet presAssocID="{D2CF82F5-2B00-4FA9-94E1-B32E7E9469AD}" presName="level3hierChild" presStyleCnt="0"/>
      <dgm:spPr/>
    </dgm:pt>
    <dgm:pt modelId="{628A2FB8-657F-4E8C-B526-32753DFDE4C2}" type="pres">
      <dgm:prSet presAssocID="{D469E822-DD4E-4DC9-A4CC-C46B81E9CD27}" presName="conn2-1" presStyleLbl="parChTrans1D2" presStyleIdx="7" presStyleCnt="9"/>
      <dgm:spPr>
        <a:custGeom>
          <a:avLst/>
          <a:gdLst/>
          <a:ahLst/>
          <a:cxnLst/>
          <a:rect l="0" t="0" r="0" b="0"/>
          <a:pathLst>
            <a:path>
              <a:moveTo>
                <a:pt x="0" y="8822"/>
              </a:moveTo>
              <a:lnTo>
                <a:pt x="1478615" y="8822"/>
              </a:lnTo>
            </a:path>
          </a:pathLst>
        </a:custGeom>
      </dgm:spPr>
      <dgm:t>
        <a:bodyPr/>
        <a:lstStyle/>
        <a:p>
          <a:endParaRPr lang="nl-BE"/>
        </a:p>
      </dgm:t>
    </dgm:pt>
    <dgm:pt modelId="{7B27BC15-BC23-4692-89B7-E770140DBA0F}" type="pres">
      <dgm:prSet presAssocID="{D469E822-DD4E-4DC9-A4CC-C46B81E9CD27}" presName="connTx" presStyleLbl="parChTrans1D2" presStyleIdx="7" presStyleCnt="9"/>
      <dgm:spPr/>
      <dgm:t>
        <a:bodyPr/>
        <a:lstStyle/>
        <a:p>
          <a:endParaRPr lang="nl-BE"/>
        </a:p>
      </dgm:t>
    </dgm:pt>
    <dgm:pt modelId="{01F4C3FD-AA21-409A-9746-44BFE070CC62}" type="pres">
      <dgm:prSet presAssocID="{57C911DE-7841-4244-AB31-55DD85ACBEF2}" presName="root2" presStyleCnt="0"/>
      <dgm:spPr/>
    </dgm:pt>
    <dgm:pt modelId="{9AD0DB48-0082-4B90-923A-090B210489EC}" type="pres">
      <dgm:prSet presAssocID="{57C911DE-7841-4244-AB31-55DD85ACBEF2}" presName="LevelTwoTextNode" presStyleLbl="node2" presStyleIdx="7" presStyleCnt="9" custScaleX="262610">
        <dgm:presLayoutVars>
          <dgm:chPref val="3"/>
        </dgm:presLayoutVars>
      </dgm:prSet>
      <dgm:spPr>
        <a:prstGeom prst="roundRect">
          <a:avLst>
            <a:gd name="adj" fmla="val 10000"/>
          </a:avLst>
        </a:prstGeom>
      </dgm:spPr>
      <dgm:t>
        <a:bodyPr/>
        <a:lstStyle/>
        <a:p>
          <a:endParaRPr lang="nl-BE"/>
        </a:p>
      </dgm:t>
    </dgm:pt>
    <dgm:pt modelId="{9B2876BF-047C-470D-AFC8-1C4959A88776}" type="pres">
      <dgm:prSet presAssocID="{57C911DE-7841-4244-AB31-55DD85ACBEF2}" presName="level3hierChild" presStyleCnt="0"/>
      <dgm:spPr/>
    </dgm:pt>
    <dgm:pt modelId="{0534DCEC-A4AB-4F1D-897A-B70527308419}" type="pres">
      <dgm:prSet presAssocID="{58950747-24BF-4E2F-8EB4-1D7D2BAE372C}" presName="conn2-1" presStyleLbl="parChTrans1D2" presStyleIdx="8" presStyleCnt="9"/>
      <dgm:spPr>
        <a:custGeom>
          <a:avLst/>
          <a:gdLst/>
          <a:ahLst/>
          <a:cxnLst/>
          <a:rect l="0" t="0" r="0" b="0"/>
          <a:pathLst>
            <a:path>
              <a:moveTo>
                <a:pt x="0" y="8822"/>
              </a:moveTo>
              <a:lnTo>
                <a:pt x="1646813" y="8822"/>
              </a:lnTo>
            </a:path>
          </a:pathLst>
        </a:custGeom>
      </dgm:spPr>
      <dgm:t>
        <a:bodyPr/>
        <a:lstStyle/>
        <a:p>
          <a:endParaRPr lang="nl-BE"/>
        </a:p>
      </dgm:t>
    </dgm:pt>
    <dgm:pt modelId="{9D9A616D-DB50-4CE0-9355-7F4C77E7243C}" type="pres">
      <dgm:prSet presAssocID="{58950747-24BF-4E2F-8EB4-1D7D2BAE372C}" presName="connTx" presStyleLbl="parChTrans1D2" presStyleIdx="8" presStyleCnt="9"/>
      <dgm:spPr/>
      <dgm:t>
        <a:bodyPr/>
        <a:lstStyle/>
        <a:p>
          <a:endParaRPr lang="nl-BE"/>
        </a:p>
      </dgm:t>
    </dgm:pt>
    <dgm:pt modelId="{6837FF35-BB18-498D-B200-0AA9C419F97D}" type="pres">
      <dgm:prSet presAssocID="{59F23E58-250C-4825-8269-732C8D6B4613}" presName="root2" presStyleCnt="0"/>
      <dgm:spPr/>
    </dgm:pt>
    <dgm:pt modelId="{8C17F12C-6CE1-4FB7-8913-EC0A84363D7E}" type="pres">
      <dgm:prSet presAssocID="{59F23E58-250C-4825-8269-732C8D6B4613}" presName="LevelTwoTextNode" presStyleLbl="node2" presStyleIdx="8" presStyleCnt="9" custScaleX="262528">
        <dgm:presLayoutVars>
          <dgm:chPref val="3"/>
        </dgm:presLayoutVars>
      </dgm:prSet>
      <dgm:spPr>
        <a:prstGeom prst="roundRect">
          <a:avLst>
            <a:gd name="adj" fmla="val 10000"/>
          </a:avLst>
        </a:prstGeom>
      </dgm:spPr>
      <dgm:t>
        <a:bodyPr/>
        <a:lstStyle/>
        <a:p>
          <a:endParaRPr lang="nl-BE"/>
        </a:p>
      </dgm:t>
    </dgm:pt>
    <dgm:pt modelId="{D2438084-2619-4166-B0DD-410DFF878ED7}" type="pres">
      <dgm:prSet presAssocID="{59F23E58-250C-4825-8269-732C8D6B4613}" presName="level3hierChild" presStyleCnt="0"/>
      <dgm:spPr/>
    </dgm:pt>
  </dgm:ptLst>
  <dgm:cxnLst>
    <dgm:cxn modelId="{04723D6F-A109-45C0-A0C9-E9D9DA55AA1B}" type="presOf" srcId="{DADF459E-149D-46FC-A9F8-C448D8E21559}" destId="{00957931-99C3-4D2F-9494-061F6D0E5732}" srcOrd="0" destOrd="0" presId="urn:microsoft.com/office/officeart/2005/8/layout/hierarchy2"/>
    <dgm:cxn modelId="{D520ED5D-3A2F-4076-A4F6-BC338A53C596}" type="presOf" srcId="{284A5F14-EE77-449E-A981-550FA06B7801}" destId="{6AC215E7-2EF2-4B06-AACB-F59287687AC7}" srcOrd="0" destOrd="0" presId="urn:microsoft.com/office/officeart/2005/8/layout/hierarchy2"/>
    <dgm:cxn modelId="{AEAD1079-4905-4AD5-8553-509F058B2526}" type="presOf" srcId="{D2CF82F5-2B00-4FA9-94E1-B32E7E9469AD}" destId="{530E9F51-FAA3-4AF1-A897-19E558C39257}" srcOrd="0" destOrd="0" presId="urn:microsoft.com/office/officeart/2005/8/layout/hierarchy2"/>
    <dgm:cxn modelId="{74BCBF07-08EB-4ED0-9698-604422964217}" type="presOf" srcId="{F3484646-121A-4C85-B439-3F9F57E68263}" destId="{025BB697-9F83-4C2E-895B-5CE575163374}" srcOrd="0" destOrd="0" presId="urn:microsoft.com/office/officeart/2005/8/layout/hierarchy2"/>
    <dgm:cxn modelId="{5D4A74FD-DAFA-4F00-B9F8-11C92F0F99EB}" type="presOf" srcId="{01C394B4-EE68-4ACB-B36B-4AB2F0CECB80}" destId="{DCE70A5E-086E-4A03-92FF-058FE9373BEF}" srcOrd="0" destOrd="0" presId="urn:microsoft.com/office/officeart/2005/8/layout/hierarchy2"/>
    <dgm:cxn modelId="{5BF4BFE4-00AB-4CCA-AF2B-20530D33506A}" type="presOf" srcId="{58950747-24BF-4E2F-8EB4-1D7D2BAE372C}" destId="{9D9A616D-DB50-4CE0-9355-7F4C77E7243C}" srcOrd="1" destOrd="0" presId="urn:microsoft.com/office/officeart/2005/8/layout/hierarchy2"/>
    <dgm:cxn modelId="{8E40F530-6C9D-4517-8607-06EAA23A1D44}" type="presOf" srcId="{8A70B62F-67B5-419E-91AF-A647E066C219}" destId="{DD38803A-7C77-4954-AE03-5288EC82993F}" srcOrd="0" destOrd="0" presId="urn:microsoft.com/office/officeart/2005/8/layout/hierarchy2"/>
    <dgm:cxn modelId="{1920C0CE-A682-49A3-A8C3-3743E981E2BE}" srcId="{46DC3E59-C492-4D90-94EA-367A80B7B097}" destId="{F3484646-121A-4C85-B439-3F9F57E68263}" srcOrd="1" destOrd="0" parTransId="{DADF459E-149D-46FC-A9F8-C448D8E21559}" sibTransId="{5871BCFB-A14A-464B-8D32-A19BB9B10A5D}"/>
    <dgm:cxn modelId="{D06D83F4-4EE5-4C11-BFD8-9AB54A8FA686}" srcId="{BDD2C5A6-CB41-46A0-B741-427B4EE72402}" destId="{284A5F14-EE77-449E-A981-550FA06B7801}" srcOrd="0" destOrd="0" parTransId="{19FD8AE9-CB45-42DB-A5E3-74B7990D4646}" sibTransId="{45B06514-F849-4E61-BF7F-032E7B14A84A}"/>
    <dgm:cxn modelId="{D3A1A604-DC7E-4A71-8485-38C291F359AE}" type="presOf" srcId="{A058AB5B-1312-4D8F-B743-89A123FDC6AA}" destId="{774D970C-506E-4FDA-8691-027E14120CB5}" srcOrd="0" destOrd="0" presId="urn:microsoft.com/office/officeart/2005/8/layout/hierarchy2"/>
    <dgm:cxn modelId="{CD045685-A80C-47DC-8F0F-D82D87D39014}" type="presOf" srcId="{19FD8AE9-CB45-42DB-A5E3-74B7990D4646}" destId="{6C34EF6B-562A-4269-B1F5-E742F17A545C}" srcOrd="0" destOrd="0" presId="urn:microsoft.com/office/officeart/2005/8/layout/hierarchy2"/>
    <dgm:cxn modelId="{22FB3891-501E-4E0A-9874-4F82F446C402}" type="presOf" srcId="{D312BBCC-3707-4A32-B2CD-5345FB4F67F1}" destId="{447A96F9-691C-46E9-B44B-CE7934762D12}" srcOrd="0" destOrd="0" presId="urn:microsoft.com/office/officeart/2005/8/layout/hierarchy2"/>
    <dgm:cxn modelId="{EEBEDD93-39E5-46B7-833A-59059403094A}" type="presOf" srcId="{D89A0DDF-E0EB-48DA-8796-09B9812251DD}" destId="{DF191E41-7B83-4037-8730-14D76EF0D314}" srcOrd="0" destOrd="0" presId="urn:microsoft.com/office/officeart/2005/8/layout/hierarchy2"/>
    <dgm:cxn modelId="{BAE40D64-D862-4769-BB6D-0DD103DEE837}" type="presOf" srcId="{4D797B49-45E4-41F1-AF2E-FB42D4413913}" destId="{7043E1A3-D793-4EA7-9B5B-99A1789BE703}" srcOrd="1" destOrd="0" presId="urn:microsoft.com/office/officeart/2005/8/layout/hierarchy2"/>
    <dgm:cxn modelId="{FC13ADAA-3DFA-4D90-8885-6FFC5389E2F0}" type="presOf" srcId="{DADF459E-149D-46FC-A9F8-C448D8E21559}" destId="{7AF8425D-3D21-46CE-8E23-BEF356FD7429}" srcOrd="1" destOrd="0" presId="urn:microsoft.com/office/officeart/2005/8/layout/hierarchy2"/>
    <dgm:cxn modelId="{5D62F30D-5553-4E5C-B1CB-417C115B8390}" type="presOf" srcId="{59F23E58-250C-4825-8269-732C8D6B4613}" destId="{8C17F12C-6CE1-4FB7-8913-EC0A84363D7E}" srcOrd="0" destOrd="0" presId="urn:microsoft.com/office/officeart/2005/8/layout/hierarchy2"/>
    <dgm:cxn modelId="{EBB55100-BCDF-42A1-B664-33FC6D1A3035}" type="presOf" srcId="{D89A0DDF-E0EB-48DA-8796-09B9812251DD}" destId="{0287445A-BDC3-4E8D-8F8A-A72064F222D5}" srcOrd="1" destOrd="0" presId="urn:microsoft.com/office/officeart/2005/8/layout/hierarchy2"/>
    <dgm:cxn modelId="{D67FFDFE-EC70-4674-9DDA-C35333A5EC2C}" srcId="{01C394B4-EE68-4ACB-B36B-4AB2F0CECB80}" destId="{46DC3E59-C492-4D90-94EA-367A80B7B097}" srcOrd="0" destOrd="0" parTransId="{EE69768F-B432-46E2-B50F-2447985CAEB0}" sibTransId="{9C034F52-A34E-4262-A7D7-E78631950B1D}"/>
    <dgm:cxn modelId="{D913DC3F-0B24-41D6-8A91-27E9E7B37297}" type="presOf" srcId="{D1EE686C-65D9-4D5B-8870-9900799FC2BA}" destId="{C2A53E23-8154-484D-B7FB-7405681A4090}" srcOrd="0" destOrd="0" presId="urn:microsoft.com/office/officeart/2005/8/layout/hierarchy2"/>
    <dgm:cxn modelId="{7C8AEC51-6841-43FB-934C-592B02957051}" type="presOf" srcId="{6389DA28-C44C-4857-9B12-0BC43DE9A613}" destId="{89BA2E30-0336-48B9-A4EA-17F174AAF1A8}" srcOrd="0" destOrd="0" presId="urn:microsoft.com/office/officeart/2005/8/layout/hierarchy2"/>
    <dgm:cxn modelId="{AD591419-F52C-4940-AEB9-BF6D8D9529BC}" type="presOf" srcId="{D469E822-DD4E-4DC9-A4CC-C46B81E9CD27}" destId="{628A2FB8-657F-4E8C-B526-32753DFDE4C2}" srcOrd="0" destOrd="0" presId="urn:microsoft.com/office/officeart/2005/8/layout/hierarchy2"/>
    <dgm:cxn modelId="{EE862FDA-847D-4B32-8CB5-EF73CE0E5ED9}" srcId="{46DC3E59-C492-4D90-94EA-367A80B7B097}" destId="{8A70B62F-67B5-419E-91AF-A647E066C219}" srcOrd="4" destOrd="0" parTransId="{D1EE686C-65D9-4D5B-8870-9900799FC2BA}" sibTransId="{23E019C8-67D4-45AB-87B9-983CCC2B5F8F}"/>
    <dgm:cxn modelId="{BB930228-9B70-4080-B1E8-8FFEFFB5FEA7}" srcId="{BDD2C5A6-CB41-46A0-B741-427B4EE72402}" destId="{59F23E58-250C-4825-8269-732C8D6B4613}" srcOrd="3" destOrd="0" parTransId="{58950747-24BF-4E2F-8EB4-1D7D2BAE372C}" sibTransId="{44DA2A93-DD57-4226-BE02-41BAF248F829}"/>
    <dgm:cxn modelId="{907AA8DD-A6F7-4806-8B2E-9D25B83624AD}" srcId="{BDD2C5A6-CB41-46A0-B741-427B4EE72402}" destId="{57C911DE-7841-4244-AB31-55DD85ACBEF2}" srcOrd="2" destOrd="0" parTransId="{D469E822-DD4E-4DC9-A4CC-C46B81E9CD27}" sibTransId="{FB67E680-7D39-430B-864A-F2B8DDEB2BD9}"/>
    <dgm:cxn modelId="{81C1BB88-57E8-4B77-A598-35550E943BEB}" type="presOf" srcId="{4AF3E041-F083-4536-8759-A9D82AA77A07}" destId="{2671BEBE-2E8B-4E3A-BB36-EA614D87EE37}" srcOrd="1" destOrd="0" presId="urn:microsoft.com/office/officeart/2005/8/layout/hierarchy2"/>
    <dgm:cxn modelId="{C099C273-7C80-4EC0-BE61-8A6705F89358}" type="presOf" srcId="{BDD2C5A6-CB41-46A0-B741-427B4EE72402}" destId="{ACE92B6B-70FC-4087-8805-86BADCADD7D2}" srcOrd="0" destOrd="0" presId="urn:microsoft.com/office/officeart/2005/8/layout/hierarchy2"/>
    <dgm:cxn modelId="{F4235198-AAC1-4F10-9718-8A432DBD2A53}" srcId="{46DC3E59-C492-4D90-94EA-367A80B7B097}" destId="{C9423139-97BB-4300-8C0D-CE79375721A0}" srcOrd="3" destOrd="0" parTransId="{A058AB5B-1312-4D8F-B743-89A123FDC6AA}" sibTransId="{00DA17E5-9467-4E32-AE91-7B880767620B}"/>
    <dgm:cxn modelId="{9D252326-4A72-429F-A246-E23713E5659E}" type="presOf" srcId="{57C911DE-7841-4244-AB31-55DD85ACBEF2}" destId="{9AD0DB48-0082-4B90-923A-090B210489EC}" srcOrd="0" destOrd="0" presId="urn:microsoft.com/office/officeart/2005/8/layout/hierarchy2"/>
    <dgm:cxn modelId="{F8A09C4B-D502-4D4A-9EC2-00C3C8E9DB75}" type="presOf" srcId="{19FD8AE9-CB45-42DB-A5E3-74B7990D4646}" destId="{257FE2FF-38AD-4586-BA58-0823B40A1D27}" srcOrd="1" destOrd="0" presId="urn:microsoft.com/office/officeart/2005/8/layout/hierarchy2"/>
    <dgm:cxn modelId="{AA57B88F-920F-45DA-AB44-D2556C8DFBC7}" srcId="{46DC3E59-C492-4D90-94EA-367A80B7B097}" destId="{6389DA28-C44C-4857-9B12-0BC43DE9A613}" srcOrd="0" destOrd="0" parTransId="{D89A0DDF-E0EB-48DA-8796-09B9812251DD}" sibTransId="{EC15BEC8-C41A-4488-A5E4-1EE0103D7A1C}"/>
    <dgm:cxn modelId="{D604BF5B-294E-44EA-9C91-6FD2D60C4A5F}" type="presOf" srcId="{D1EE686C-65D9-4D5B-8870-9900799FC2BA}" destId="{F0262BD5-5E98-4E02-84E7-714BDD2643A6}" srcOrd="1" destOrd="0" presId="urn:microsoft.com/office/officeart/2005/8/layout/hierarchy2"/>
    <dgm:cxn modelId="{9C9C258A-BFA2-48C7-B453-1ED97884DDD5}" srcId="{BDD2C5A6-CB41-46A0-B741-427B4EE72402}" destId="{D2CF82F5-2B00-4FA9-94E1-B32E7E9469AD}" srcOrd="1" destOrd="0" parTransId="{4D797B49-45E4-41F1-AF2E-FB42D4413913}" sibTransId="{3DC31923-7CBA-4995-A9A5-3A2CB891FFEC}"/>
    <dgm:cxn modelId="{1B7A5F75-0A2A-4BE3-AF22-BF1D4BBC8233}" type="presOf" srcId="{A058AB5B-1312-4D8F-B743-89A123FDC6AA}" destId="{A027C093-548D-48C1-8F05-5A013FEC15C0}" srcOrd="1" destOrd="0" presId="urn:microsoft.com/office/officeart/2005/8/layout/hierarchy2"/>
    <dgm:cxn modelId="{24ECC4FC-278B-48B6-BD26-CBB988A5CB25}" srcId="{46DC3E59-C492-4D90-94EA-367A80B7B097}" destId="{D312BBCC-3707-4A32-B2CD-5345FB4F67F1}" srcOrd="2" destOrd="0" parTransId="{4AF3E041-F083-4536-8759-A9D82AA77A07}" sibTransId="{7320D6AD-632B-43B0-AD34-1E9ECACEB910}"/>
    <dgm:cxn modelId="{5A344DF8-5A72-424C-A89D-256BEBB629C5}" type="presOf" srcId="{4AF3E041-F083-4536-8759-A9D82AA77A07}" destId="{3C8F1C6D-F93F-4A27-A7C7-A750E6C5AE1A}" srcOrd="0" destOrd="0" presId="urn:microsoft.com/office/officeart/2005/8/layout/hierarchy2"/>
    <dgm:cxn modelId="{5ADE4E8E-C775-42D8-94F3-7452188C5B4B}" type="presOf" srcId="{C9423139-97BB-4300-8C0D-CE79375721A0}" destId="{3556F7D8-E962-4A60-950B-4F3D67F4CF8C}" srcOrd="0" destOrd="0" presId="urn:microsoft.com/office/officeart/2005/8/layout/hierarchy2"/>
    <dgm:cxn modelId="{329F0A78-3680-4CB7-96BE-2EB645EAF297}" srcId="{01C394B4-EE68-4ACB-B36B-4AB2F0CECB80}" destId="{BDD2C5A6-CB41-46A0-B741-427B4EE72402}" srcOrd="1" destOrd="0" parTransId="{429D43FB-0CCA-45D6-B8BB-FAC917B4EEA2}" sibTransId="{82ABCD93-64CE-4BBD-902D-61CD47F845BF}"/>
    <dgm:cxn modelId="{E78A0CE2-8B10-446E-A91A-C762158AA404}" type="presOf" srcId="{4D797B49-45E4-41F1-AF2E-FB42D4413913}" destId="{5EF3D0C0-633A-4402-91DD-9089B7A01600}" srcOrd="0" destOrd="0" presId="urn:microsoft.com/office/officeart/2005/8/layout/hierarchy2"/>
    <dgm:cxn modelId="{F703560C-A9DA-44A4-B36E-662AAB81A57F}" type="presOf" srcId="{46DC3E59-C492-4D90-94EA-367A80B7B097}" destId="{F9101801-DCCE-4E4F-B2EE-761A31CACFB0}" srcOrd="0" destOrd="0" presId="urn:microsoft.com/office/officeart/2005/8/layout/hierarchy2"/>
    <dgm:cxn modelId="{6FF92695-92BE-4B62-88B4-89BEAA01F4A5}" type="presOf" srcId="{58950747-24BF-4E2F-8EB4-1D7D2BAE372C}" destId="{0534DCEC-A4AB-4F1D-897A-B70527308419}" srcOrd="0" destOrd="0" presId="urn:microsoft.com/office/officeart/2005/8/layout/hierarchy2"/>
    <dgm:cxn modelId="{B510867E-D9C9-43D1-A5D3-253DAA9137ED}" type="presOf" srcId="{D469E822-DD4E-4DC9-A4CC-C46B81E9CD27}" destId="{7B27BC15-BC23-4692-89B7-E770140DBA0F}" srcOrd="1" destOrd="0" presId="urn:microsoft.com/office/officeart/2005/8/layout/hierarchy2"/>
    <dgm:cxn modelId="{7E01E5E4-2081-44D1-BE8F-91420B3E0150}" type="presParOf" srcId="{DCE70A5E-086E-4A03-92FF-058FE9373BEF}" destId="{4CF875FE-28FB-4283-9B74-4D16CD97316E}" srcOrd="0" destOrd="0" presId="urn:microsoft.com/office/officeart/2005/8/layout/hierarchy2"/>
    <dgm:cxn modelId="{7966BE50-4683-427D-AE19-11E095BA1D2F}" type="presParOf" srcId="{4CF875FE-28FB-4283-9B74-4D16CD97316E}" destId="{F9101801-DCCE-4E4F-B2EE-761A31CACFB0}" srcOrd="0" destOrd="0" presId="urn:microsoft.com/office/officeart/2005/8/layout/hierarchy2"/>
    <dgm:cxn modelId="{60B3070D-966F-440D-B2ED-9C67086311D0}" type="presParOf" srcId="{4CF875FE-28FB-4283-9B74-4D16CD97316E}" destId="{E58983D3-6DD3-4DF6-8F99-5C4F9D381CB1}" srcOrd="1" destOrd="0" presId="urn:microsoft.com/office/officeart/2005/8/layout/hierarchy2"/>
    <dgm:cxn modelId="{C6109D6D-7657-4A63-B957-C6910F14CB20}" type="presParOf" srcId="{E58983D3-6DD3-4DF6-8F99-5C4F9D381CB1}" destId="{DF191E41-7B83-4037-8730-14D76EF0D314}" srcOrd="0" destOrd="0" presId="urn:microsoft.com/office/officeart/2005/8/layout/hierarchy2"/>
    <dgm:cxn modelId="{27C45024-9449-4567-B77C-DCB1BD3A3B20}" type="presParOf" srcId="{DF191E41-7B83-4037-8730-14D76EF0D314}" destId="{0287445A-BDC3-4E8D-8F8A-A72064F222D5}" srcOrd="0" destOrd="0" presId="urn:microsoft.com/office/officeart/2005/8/layout/hierarchy2"/>
    <dgm:cxn modelId="{7E82B1F4-82C2-41A2-8DEE-F82BD98D7827}" type="presParOf" srcId="{E58983D3-6DD3-4DF6-8F99-5C4F9D381CB1}" destId="{76264788-5FE9-4010-9951-E3ED2F746DE1}" srcOrd="1" destOrd="0" presId="urn:microsoft.com/office/officeart/2005/8/layout/hierarchy2"/>
    <dgm:cxn modelId="{D04E1270-5673-4B41-9CC1-3A7544D9F0D2}" type="presParOf" srcId="{76264788-5FE9-4010-9951-E3ED2F746DE1}" destId="{89BA2E30-0336-48B9-A4EA-17F174AAF1A8}" srcOrd="0" destOrd="0" presId="urn:microsoft.com/office/officeart/2005/8/layout/hierarchy2"/>
    <dgm:cxn modelId="{6C9720C1-7735-4BA5-8CC2-F1AA0095525B}" type="presParOf" srcId="{76264788-5FE9-4010-9951-E3ED2F746DE1}" destId="{DB5B4828-6B9A-4A46-86FA-3F1BB3D96297}" srcOrd="1" destOrd="0" presId="urn:microsoft.com/office/officeart/2005/8/layout/hierarchy2"/>
    <dgm:cxn modelId="{DC05307B-69E5-4D9F-84E8-4723E5EBF4A5}" type="presParOf" srcId="{E58983D3-6DD3-4DF6-8F99-5C4F9D381CB1}" destId="{00957931-99C3-4D2F-9494-061F6D0E5732}" srcOrd="2" destOrd="0" presId="urn:microsoft.com/office/officeart/2005/8/layout/hierarchy2"/>
    <dgm:cxn modelId="{EB1E273A-AC62-494D-9851-A7E32F81D668}" type="presParOf" srcId="{00957931-99C3-4D2F-9494-061F6D0E5732}" destId="{7AF8425D-3D21-46CE-8E23-BEF356FD7429}" srcOrd="0" destOrd="0" presId="urn:microsoft.com/office/officeart/2005/8/layout/hierarchy2"/>
    <dgm:cxn modelId="{3F60D0E0-5456-4BBA-A078-B74849A49085}" type="presParOf" srcId="{E58983D3-6DD3-4DF6-8F99-5C4F9D381CB1}" destId="{1211FEB4-4D57-4952-B462-0AC4BB5F6568}" srcOrd="3" destOrd="0" presId="urn:microsoft.com/office/officeart/2005/8/layout/hierarchy2"/>
    <dgm:cxn modelId="{28547AF5-CC17-4606-9163-A93995BF126F}" type="presParOf" srcId="{1211FEB4-4D57-4952-B462-0AC4BB5F6568}" destId="{025BB697-9F83-4C2E-895B-5CE575163374}" srcOrd="0" destOrd="0" presId="urn:microsoft.com/office/officeart/2005/8/layout/hierarchy2"/>
    <dgm:cxn modelId="{7F523C0E-15DA-4A14-8001-CE8CE8167C24}" type="presParOf" srcId="{1211FEB4-4D57-4952-B462-0AC4BB5F6568}" destId="{6FD8A51F-6FA5-4020-B396-3E19840BE730}" srcOrd="1" destOrd="0" presId="urn:microsoft.com/office/officeart/2005/8/layout/hierarchy2"/>
    <dgm:cxn modelId="{CE3E41C9-A9B5-4399-8595-4DF4F1E8211B}" type="presParOf" srcId="{E58983D3-6DD3-4DF6-8F99-5C4F9D381CB1}" destId="{3C8F1C6D-F93F-4A27-A7C7-A750E6C5AE1A}" srcOrd="4" destOrd="0" presId="urn:microsoft.com/office/officeart/2005/8/layout/hierarchy2"/>
    <dgm:cxn modelId="{A6111028-5DF0-4FB0-B152-5BC28298DE55}" type="presParOf" srcId="{3C8F1C6D-F93F-4A27-A7C7-A750E6C5AE1A}" destId="{2671BEBE-2E8B-4E3A-BB36-EA614D87EE37}" srcOrd="0" destOrd="0" presId="urn:microsoft.com/office/officeart/2005/8/layout/hierarchy2"/>
    <dgm:cxn modelId="{8B69A174-C596-49C2-9B6F-4E17E3E75B1B}" type="presParOf" srcId="{E58983D3-6DD3-4DF6-8F99-5C4F9D381CB1}" destId="{6A4587E2-64A4-4560-BAC1-5CD42E26761A}" srcOrd="5" destOrd="0" presId="urn:microsoft.com/office/officeart/2005/8/layout/hierarchy2"/>
    <dgm:cxn modelId="{E6B8D75E-9EA6-4E6F-97B7-0C77D19F47C1}" type="presParOf" srcId="{6A4587E2-64A4-4560-BAC1-5CD42E26761A}" destId="{447A96F9-691C-46E9-B44B-CE7934762D12}" srcOrd="0" destOrd="0" presId="urn:microsoft.com/office/officeart/2005/8/layout/hierarchy2"/>
    <dgm:cxn modelId="{82714016-F003-4210-AF68-D05AD7B860A1}" type="presParOf" srcId="{6A4587E2-64A4-4560-BAC1-5CD42E26761A}" destId="{47D55A2B-99BD-4811-ADF6-A9BD92D75A2A}" srcOrd="1" destOrd="0" presId="urn:microsoft.com/office/officeart/2005/8/layout/hierarchy2"/>
    <dgm:cxn modelId="{C85FA6F4-B695-4C40-B8AC-3CFF3FBA6F3C}" type="presParOf" srcId="{E58983D3-6DD3-4DF6-8F99-5C4F9D381CB1}" destId="{774D970C-506E-4FDA-8691-027E14120CB5}" srcOrd="6" destOrd="0" presId="urn:microsoft.com/office/officeart/2005/8/layout/hierarchy2"/>
    <dgm:cxn modelId="{E3650A37-FFEC-489C-84AB-324218F898C3}" type="presParOf" srcId="{774D970C-506E-4FDA-8691-027E14120CB5}" destId="{A027C093-548D-48C1-8F05-5A013FEC15C0}" srcOrd="0" destOrd="0" presId="urn:microsoft.com/office/officeart/2005/8/layout/hierarchy2"/>
    <dgm:cxn modelId="{993F192B-F888-463E-81D5-9E24B735FE54}" type="presParOf" srcId="{E58983D3-6DD3-4DF6-8F99-5C4F9D381CB1}" destId="{A5CAE2DA-22A0-4105-8E4B-CB7C1AB4DF8D}" srcOrd="7" destOrd="0" presId="urn:microsoft.com/office/officeart/2005/8/layout/hierarchy2"/>
    <dgm:cxn modelId="{F3AEEE38-93D0-4DE3-BB26-23408A487E6B}" type="presParOf" srcId="{A5CAE2DA-22A0-4105-8E4B-CB7C1AB4DF8D}" destId="{3556F7D8-E962-4A60-950B-4F3D67F4CF8C}" srcOrd="0" destOrd="0" presId="urn:microsoft.com/office/officeart/2005/8/layout/hierarchy2"/>
    <dgm:cxn modelId="{8314F117-C82D-47CB-986B-B844A6B7A48F}" type="presParOf" srcId="{A5CAE2DA-22A0-4105-8E4B-CB7C1AB4DF8D}" destId="{1233079B-DF82-4831-B48F-BC001A31F5B0}" srcOrd="1" destOrd="0" presId="urn:microsoft.com/office/officeart/2005/8/layout/hierarchy2"/>
    <dgm:cxn modelId="{D514EB4D-9C52-4782-BD43-862558E96772}" type="presParOf" srcId="{E58983D3-6DD3-4DF6-8F99-5C4F9D381CB1}" destId="{C2A53E23-8154-484D-B7FB-7405681A4090}" srcOrd="8" destOrd="0" presId="urn:microsoft.com/office/officeart/2005/8/layout/hierarchy2"/>
    <dgm:cxn modelId="{53B0EA80-70E6-4EE8-9E1B-BE964DC6B0F2}" type="presParOf" srcId="{C2A53E23-8154-484D-B7FB-7405681A4090}" destId="{F0262BD5-5E98-4E02-84E7-714BDD2643A6}" srcOrd="0" destOrd="0" presId="urn:microsoft.com/office/officeart/2005/8/layout/hierarchy2"/>
    <dgm:cxn modelId="{01128204-4AE7-4EEA-B63D-1A5339899B3F}" type="presParOf" srcId="{E58983D3-6DD3-4DF6-8F99-5C4F9D381CB1}" destId="{EE3B852B-3F6C-4376-B061-6B42E70521AA}" srcOrd="9" destOrd="0" presId="urn:microsoft.com/office/officeart/2005/8/layout/hierarchy2"/>
    <dgm:cxn modelId="{E84A7EDD-F05C-4D88-944D-F1F089D31CB1}" type="presParOf" srcId="{EE3B852B-3F6C-4376-B061-6B42E70521AA}" destId="{DD38803A-7C77-4954-AE03-5288EC82993F}" srcOrd="0" destOrd="0" presId="urn:microsoft.com/office/officeart/2005/8/layout/hierarchy2"/>
    <dgm:cxn modelId="{2F66AAF6-4D31-4782-966D-8E5999A483CB}" type="presParOf" srcId="{EE3B852B-3F6C-4376-B061-6B42E70521AA}" destId="{046AF0B5-30C9-4B5F-A900-C098961F95DB}" srcOrd="1" destOrd="0" presId="urn:microsoft.com/office/officeart/2005/8/layout/hierarchy2"/>
    <dgm:cxn modelId="{1434AC2C-6F4C-4510-B2B2-201479C1F9B5}" type="presParOf" srcId="{DCE70A5E-086E-4A03-92FF-058FE9373BEF}" destId="{DEB0D45B-BF0C-4741-9384-3CF7D672FA30}" srcOrd="1" destOrd="0" presId="urn:microsoft.com/office/officeart/2005/8/layout/hierarchy2"/>
    <dgm:cxn modelId="{FE7C796B-6E01-4068-9D34-C0135DA0517C}" type="presParOf" srcId="{DEB0D45B-BF0C-4741-9384-3CF7D672FA30}" destId="{ACE92B6B-70FC-4087-8805-86BADCADD7D2}" srcOrd="0" destOrd="0" presId="urn:microsoft.com/office/officeart/2005/8/layout/hierarchy2"/>
    <dgm:cxn modelId="{C806F3FE-9766-4399-A0EA-5DCCE8AD06EE}" type="presParOf" srcId="{DEB0D45B-BF0C-4741-9384-3CF7D672FA30}" destId="{E42785FC-A90A-4A4C-BBB1-6ACE5B212771}" srcOrd="1" destOrd="0" presId="urn:microsoft.com/office/officeart/2005/8/layout/hierarchy2"/>
    <dgm:cxn modelId="{5DA6F823-A046-491F-9179-3A8357384FFA}" type="presParOf" srcId="{E42785FC-A90A-4A4C-BBB1-6ACE5B212771}" destId="{6C34EF6B-562A-4269-B1F5-E742F17A545C}" srcOrd="0" destOrd="0" presId="urn:microsoft.com/office/officeart/2005/8/layout/hierarchy2"/>
    <dgm:cxn modelId="{5DCC39C4-0886-42E9-8FCF-B32E9A12D54D}" type="presParOf" srcId="{6C34EF6B-562A-4269-B1F5-E742F17A545C}" destId="{257FE2FF-38AD-4586-BA58-0823B40A1D27}" srcOrd="0" destOrd="0" presId="urn:microsoft.com/office/officeart/2005/8/layout/hierarchy2"/>
    <dgm:cxn modelId="{C49C220D-D482-42A7-87FA-96D5DA0E80FB}" type="presParOf" srcId="{E42785FC-A90A-4A4C-BBB1-6ACE5B212771}" destId="{427A770B-31E6-410F-9164-DF12B7389B48}" srcOrd="1" destOrd="0" presId="urn:microsoft.com/office/officeart/2005/8/layout/hierarchy2"/>
    <dgm:cxn modelId="{C6C8EE3E-79AF-433B-8C35-B38A94132568}" type="presParOf" srcId="{427A770B-31E6-410F-9164-DF12B7389B48}" destId="{6AC215E7-2EF2-4B06-AACB-F59287687AC7}" srcOrd="0" destOrd="0" presId="urn:microsoft.com/office/officeart/2005/8/layout/hierarchy2"/>
    <dgm:cxn modelId="{B89EE7F1-95E2-4CCB-93E6-0AD8F7986580}" type="presParOf" srcId="{427A770B-31E6-410F-9164-DF12B7389B48}" destId="{8053E652-097F-4F7F-98BB-557CD17DCF22}" srcOrd="1" destOrd="0" presId="urn:microsoft.com/office/officeart/2005/8/layout/hierarchy2"/>
    <dgm:cxn modelId="{699B1F94-2BAA-43DC-ABA6-1716F2A6C6EE}" type="presParOf" srcId="{E42785FC-A90A-4A4C-BBB1-6ACE5B212771}" destId="{5EF3D0C0-633A-4402-91DD-9089B7A01600}" srcOrd="2" destOrd="0" presId="urn:microsoft.com/office/officeart/2005/8/layout/hierarchy2"/>
    <dgm:cxn modelId="{D4C0AE21-2C38-4A92-BE47-84150B56AFA5}" type="presParOf" srcId="{5EF3D0C0-633A-4402-91DD-9089B7A01600}" destId="{7043E1A3-D793-4EA7-9B5B-99A1789BE703}" srcOrd="0" destOrd="0" presId="urn:microsoft.com/office/officeart/2005/8/layout/hierarchy2"/>
    <dgm:cxn modelId="{DD17A0A8-F886-433C-9623-192F586F8DFE}" type="presParOf" srcId="{E42785FC-A90A-4A4C-BBB1-6ACE5B212771}" destId="{AEE948B0-DF10-40F6-890C-E173E7451D37}" srcOrd="3" destOrd="0" presId="urn:microsoft.com/office/officeart/2005/8/layout/hierarchy2"/>
    <dgm:cxn modelId="{167C2353-F540-4DD4-BD1C-5CC9A34D1884}" type="presParOf" srcId="{AEE948B0-DF10-40F6-890C-E173E7451D37}" destId="{530E9F51-FAA3-4AF1-A897-19E558C39257}" srcOrd="0" destOrd="0" presId="urn:microsoft.com/office/officeart/2005/8/layout/hierarchy2"/>
    <dgm:cxn modelId="{115553B6-3A8F-4C06-BD46-F2E648B32FF1}" type="presParOf" srcId="{AEE948B0-DF10-40F6-890C-E173E7451D37}" destId="{1C740990-C901-4874-B81F-FC0A95629C55}" srcOrd="1" destOrd="0" presId="urn:microsoft.com/office/officeart/2005/8/layout/hierarchy2"/>
    <dgm:cxn modelId="{D8A95FAD-3D83-46C8-A20B-E1E9EE8D6540}" type="presParOf" srcId="{E42785FC-A90A-4A4C-BBB1-6ACE5B212771}" destId="{628A2FB8-657F-4E8C-B526-32753DFDE4C2}" srcOrd="4" destOrd="0" presId="urn:microsoft.com/office/officeart/2005/8/layout/hierarchy2"/>
    <dgm:cxn modelId="{9EA21309-329A-4CE6-BADF-1C9F4B976AD7}" type="presParOf" srcId="{628A2FB8-657F-4E8C-B526-32753DFDE4C2}" destId="{7B27BC15-BC23-4692-89B7-E770140DBA0F}" srcOrd="0" destOrd="0" presId="urn:microsoft.com/office/officeart/2005/8/layout/hierarchy2"/>
    <dgm:cxn modelId="{52A9AF1A-BC8F-4114-9DAF-473AD6C32488}" type="presParOf" srcId="{E42785FC-A90A-4A4C-BBB1-6ACE5B212771}" destId="{01F4C3FD-AA21-409A-9746-44BFE070CC62}" srcOrd="5" destOrd="0" presId="urn:microsoft.com/office/officeart/2005/8/layout/hierarchy2"/>
    <dgm:cxn modelId="{01015FC4-4D9D-4DD1-B5C5-1EF425DC9857}" type="presParOf" srcId="{01F4C3FD-AA21-409A-9746-44BFE070CC62}" destId="{9AD0DB48-0082-4B90-923A-090B210489EC}" srcOrd="0" destOrd="0" presId="urn:microsoft.com/office/officeart/2005/8/layout/hierarchy2"/>
    <dgm:cxn modelId="{FB2E880B-0ADB-4FFA-AA42-74168DFB9EF9}" type="presParOf" srcId="{01F4C3FD-AA21-409A-9746-44BFE070CC62}" destId="{9B2876BF-047C-470D-AFC8-1C4959A88776}" srcOrd="1" destOrd="0" presId="urn:microsoft.com/office/officeart/2005/8/layout/hierarchy2"/>
    <dgm:cxn modelId="{66155584-BBC9-48E5-8E8F-84BD55375EF3}" type="presParOf" srcId="{E42785FC-A90A-4A4C-BBB1-6ACE5B212771}" destId="{0534DCEC-A4AB-4F1D-897A-B70527308419}" srcOrd="6" destOrd="0" presId="urn:microsoft.com/office/officeart/2005/8/layout/hierarchy2"/>
    <dgm:cxn modelId="{B86FD0B2-272E-4555-979C-D83E29F50A24}" type="presParOf" srcId="{0534DCEC-A4AB-4F1D-897A-B70527308419}" destId="{9D9A616D-DB50-4CE0-9355-7F4C77E7243C}" srcOrd="0" destOrd="0" presId="urn:microsoft.com/office/officeart/2005/8/layout/hierarchy2"/>
    <dgm:cxn modelId="{FBA4A71D-9415-4243-8446-B1AEEE2FE007}" type="presParOf" srcId="{E42785FC-A90A-4A4C-BBB1-6ACE5B212771}" destId="{6837FF35-BB18-498D-B200-0AA9C419F97D}" srcOrd="7" destOrd="0" presId="urn:microsoft.com/office/officeart/2005/8/layout/hierarchy2"/>
    <dgm:cxn modelId="{C0E1977F-AA46-4A27-B8A9-1B69C1C52B12}" type="presParOf" srcId="{6837FF35-BB18-498D-B200-0AA9C419F97D}" destId="{8C17F12C-6CE1-4FB7-8913-EC0A84363D7E}" srcOrd="0" destOrd="0" presId="urn:microsoft.com/office/officeart/2005/8/layout/hierarchy2"/>
    <dgm:cxn modelId="{50401135-0ACA-4F66-892F-DE7D43782FF7}" type="presParOf" srcId="{6837FF35-BB18-498D-B200-0AA9C419F97D}" destId="{D2438084-2619-4166-B0DD-410DFF878ED7}" srcOrd="1" destOrd="0" presId="urn:microsoft.com/office/officeart/2005/8/layout/hierarchy2"/>
  </dgm:cxnLst>
  <dgm:bg/>
  <dgm:whole/>
  <dgm:extLst>
    <a:ext uri="http://schemas.microsoft.com/office/drawing/2008/diagram">
      <dsp:dataModelExt xmlns:dsp="http://schemas.microsoft.com/office/drawing/2008/diagram" relId="rId1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9101801-DCCE-4E4F-B2EE-761A31CACFB0}">
      <dsp:nvSpPr>
        <dsp:cNvPr id="0" name=""/>
        <dsp:cNvSpPr/>
      </dsp:nvSpPr>
      <dsp:spPr>
        <a:xfrm>
          <a:off x="66515" y="838381"/>
          <a:ext cx="761869" cy="380934"/>
        </a:xfrm>
        <a:prstGeom prst="roundRect">
          <a:avLst>
            <a:gd name="adj" fmla="val 10000"/>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nl-BE" sz="800" kern="1200">
              <a:solidFill>
                <a:sysClr val="windowText" lastClr="000000">
                  <a:hueOff val="0"/>
                  <a:satOff val="0"/>
                  <a:lumOff val="0"/>
                  <a:alphaOff val="0"/>
                </a:sysClr>
              </a:solidFill>
              <a:latin typeface="Calibri"/>
              <a:ea typeface="+mn-ea"/>
              <a:cs typeface="+mn-cs"/>
            </a:rPr>
            <a:t>Tramadol</a:t>
          </a:r>
        </a:p>
      </dsp:txBody>
      <dsp:txXfrm>
        <a:off x="77672" y="849538"/>
        <a:ext cx="739555" cy="358620"/>
      </dsp:txXfrm>
    </dsp:sp>
    <dsp:sp modelId="{DF191E41-7B83-4037-8730-14D76EF0D314}">
      <dsp:nvSpPr>
        <dsp:cNvPr id="0" name=""/>
        <dsp:cNvSpPr/>
      </dsp:nvSpPr>
      <dsp:spPr>
        <a:xfrm rot="19796103">
          <a:off x="715853" y="601002"/>
          <a:ext cx="1672814" cy="17644"/>
        </a:xfrm>
        <a:custGeom>
          <a:avLst/>
          <a:gdLst/>
          <a:ahLst/>
          <a:cxnLst/>
          <a:rect l="0" t="0" r="0" b="0"/>
          <a:pathLst>
            <a:path>
              <a:moveTo>
                <a:pt x="0" y="8822"/>
              </a:moveTo>
              <a:lnTo>
                <a:pt x="1672814" y="8822"/>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nl-BE" sz="500" kern="1200">
            <a:solidFill>
              <a:sysClr val="windowText" lastClr="000000">
                <a:hueOff val="0"/>
                <a:satOff val="0"/>
                <a:lumOff val="0"/>
                <a:alphaOff val="0"/>
              </a:sysClr>
            </a:solidFill>
            <a:latin typeface="Calibri"/>
            <a:ea typeface="+mn-ea"/>
            <a:cs typeface="+mn-cs"/>
          </a:endParaRPr>
        </a:p>
      </dsp:txBody>
      <dsp:txXfrm>
        <a:off x="1495116" y="594581"/>
        <a:ext cx="0" cy="0"/>
      </dsp:txXfrm>
    </dsp:sp>
    <dsp:sp modelId="{89BA2E30-0336-48B9-A4EA-17F174AAF1A8}">
      <dsp:nvSpPr>
        <dsp:cNvPr id="0" name=""/>
        <dsp:cNvSpPr/>
      </dsp:nvSpPr>
      <dsp:spPr>
        <a:xfrm>
          <a:off x="2276135" y="332"/>
          <a:ext cx="1962332" cy="380934"/>
        </a:xfrm>
        <a:prstGeom prst="roundRect">
          <a:avLst>
            <a:gd name="adj" fmla="val 10000"/>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nl-BE" sz="800" kern="1200">
              <a:solidFill>
                <a:sysClr val="windowText" lastClr="000000">
                  <a:hueOff val="0"/>
                  <a:satOff val="0"/>
                  <a:lumOff val="0"/>
                  <a:alphaOff val="0"/>
                </a:sysClr>
              </a:solidFill>
              <a:latin typeface="Calibri"/>
              <a:ea typeface="+mn-ea"/>
              <a:cs typeface="+mn-cs"/>
            </a:rPr>
            <a:t>1 acute pulmonary edema (day 2)</a:t>
          </a:r>
        </a:p>
      </dsp:txBody>
      <dsp:txXfrm>
        <a:off x="2287292" y="11489"/>
        <a:ext cx="1940018" cy="358620"/>
      </dsp:txXfrm>
    </dsp:sp>
    <dsp:sp modelId="{00957931-99C3-4D2F-9494-061F6D0E5732}">
      <dsp:nvSpPr>
        <dsp:cNvPr id="0" name=""/>
        <dsp:cNvSpPr/>
      </dsp:nvSpPr>
      <dsp:spPr>
        <a:xfrm rot="20673359">
          <a:off x="801267" y="820039"/>
          <a:ext cx="1501985" cy="17644"/>
        </a:xfrm>
        <a:custGeom>
          <a:avLst/>
          <a:gdLst/>
          <a:ahLst/>
          <a:cxnLst/>
          <a:rect l="0" t="0" r="0" b="0"/>
          <a:pathLst>
            <a:path>
              <a:moveTo>
                <a:pt x="0" y="8822"/>
              </a:moveTo>
              <a:lnTo>
                <a:pt x="1501985" y="8822"/>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nl-BE" sz="500" kern="1200">
            <a:solidFill>
              <a:sysClr val="windowText" lastClr="000000">
                <a:hueOff val="0"/>
                <a:satOff val="0"/>
                <a:lumOff val="0"/>
                <a:alphaOff val="0"/>
              </a:sysClr>
            </a:solidFill>
            <a:latin typeface="Calibri"/>
            <a:ea typeface="+mn-ea"/>
            <a:cs typeface="+mn-cs"/>
          </a:endParaRPr>
        </a:p>
      </dsp:txBody>
      <dsp:txXfrm>
        <a:off x="1506067" y="802667"/>
        <a:ext cx="0" cy="0"/>
      </dsp:txXfrm>
    </dsp:sp>
    <dsp:sp modelId="{025BB697-9F83-4C2E-895B-5CE575163374}">
      <dsp:nvSpPr>
        <dsp:cNvPr id="0" name=""/>
        <dsp:cNvSpPr/>
      </dsp:nvSpPr>
      <dsp:spPr>
        <a:xfrm>
          <a:off x="2276135" y="438407"/>
          <a:ext cx="1962332" cy="380934"/>
        </a:xfrm>
        <a:prstGeom prst="roundRect">
          <a:avLst>
            <a:gd name="adj" fmla="val 10000"/>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nl-BE" sz="800" kern="1200">
              <a:solidFill>
                <a:sysClr val="windowText" lastClr="000000">
                  <a:hueOff val="0"/>
                  <a:satOff val="0"/>
                  <a:lumOff val="0"/>
                  <a:alphaOff val="0"/>
                </a:sysClr>
              </a:solidFill>
              <a:latin typeface="Calibri"/>
              <a:ea typeface="+mn-ea"/>
              <a:cs typeface="+mn-cs"/>
            </a:rPr>
            <a:t>1 convulsions (day 2)</a:t>
          </a:r>
        </a:p>
      </dsp:txBody>
      <dsp:txXfrm>
        <a:off x="2287292" y="449564"/>
        <a:ext cx="1940018" cy="358620"/>
      </dsp:txXfrm>
    </dsp:sp>
    <dsp:sp modelId="{3C8F1C6D-F93F-4A27-A7C7-A750E6C5AE1A}">
      <dsp:nvSpPr>
        <dsp:cNvPr id="0" name=""/>
        <dsp:cNvSpPr/>
      </dsp:nvSpPr>
      <dsp:spPr>
        <a:xfrm rot="90452">
          <a:off x="828134" y="1039077"/>
          <a:ext cx="1448251" cy="17644"/>
        </a:xfrm>
        <a:custGeom>
          <a:avLst/>
          <a:gdLst/>
          <a:ahLst/>
          <a:cxnLst/>
          <a:rect l="0" t="0" r="0" b="0"/>
          <a:pathLst>
            <a:path>
              <a:moveTo>
                <a:pt x="0" y="8822"/>
              </a:moveTo>
              <a:lnTo>
                <a:pt x="1448251" y="8822"/>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nl-BE" sz="500" kern="1200">
            <a:solidFill>
              <a:sysClr val="windowText" lastClr="000000">
                <a:hueOff val="0"/>
                <a:satOff val="0"/>
                <a:lumOff val="0"/>
                <a:alphaOff val="0"/>
              </a:sysClr>
            </a:solidFill>
            <a:latin typeface="Calibri"/>
            <a:ea typeface="+mn-ea"/>
            <a:cs typeface="+mn-cs"/>
          </a:endParaRPr>
        </a:p>
      </dsp:txBody>
      <dsp:txXfrm>
        <a:off x="1517019" y="1010752"/>
        <a:ext cx="0" cy="0"/>
      </dsp:txXfrm>
    </dsp:sp>
    <dsp:sp modelId="{447A96F9-691C-46E9-B44B-CE7934762D12}">
      <dsp:nvSpPr>
        <dsp:cNvPr id="0" name=""/>
        <dsp:cNvSpPr/>
      </dsp:nvSpPr>
      <dsp:spPr>
        <a:xfrm>
          <a:off x="2276135" y="876482"/>
          <a:ext cx="1943285" cy="380934"/>
        </a:xfrm>
        <a:prstGeom prst="roundRect">
          <a:avLst>
            <a:gd name="adj" fmla="val 10000"/>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nl-BE" sz="800" kern="1200">
              <a:solidFill>
                <a:sysClr val="windowText" lastClr="000000">
                  <a:hueOff val="0"/>
                  <a:satOff val="0"/>
                  <a:lumOff val="0"/>
                  <a:alphaOff val="0"/>
                </a:sysClr>
              </a:solidFill>
              <a:latin typeface="Calibri"/>
              <a:ea typeface="+mn-ea"/>
              <a:cs typeface="+mn-cs"/>
            </a:rPr>
            <a:t>3 confusion (day 2, 3 and 6)</a:t>
          </a:r>
        </a:p>
      </dsp:txBody>
      <dsp:txXfrm>
        <a:off x="2287292" y="887639"/>
        <a:ext cx="1920971" cy="358620"/>
      </dsp:txXfrm>
    </dsp:sp>
    <dsp:sp modelId="{774D970C-506E-4FDA-8691-027E14120CB5}">
      <dsp:nvSpPr>
        <dsp:cNvPr id="0" name=""/>
        <dsp:cNvSpPr/>
      </dsp:nvSpPr>
      <dsp:spPr>
        <a:xfrm rot="1092386">
          <a:off x="790235" y="1258114"/>
          <a:ext cx="1524049" cy="17644"/>
        </a:xfrm>
        <a:custGeom>
          <a:avLst/>
          <a:gdLst/>
          <a:ahLst/>
          <a:cxnLst/>
          <a:rect l="0" t="0" r="0" b="0"/>
          <a:pathLst>
            <a:path>
              <a:moveTo>
                <a:pt x="0" y="8822"/>
              </a:moveTo>
              <a:lnTo>
                <a:pt x="1524049" y="8822"/>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nl-BE" sz="500" kern="1200">
            <a:solidFill>
              <a:sysClr val="windowText" lastClr="000000">
                <a:hueOff val="0"/>
                <a:satOff val="0"/>
                <a:lumOff val="0"/>
                <a:alphaOff val="0"/>
              </a:sysClr>
            </a:solidFill>
            <a:latin typeface="Calibri"/>
            <a:ea typeface="+mn-ea"/>
            <a:cs typeface="+mn-cs"/>
          </a:endParaRPr>
        </a:p>
      </dsp:txBody>
      <dsp:txXfrm>
        <a:off x="1527971" y="1218838"/>
        <a:ext cx="0" cy="0"/>
      </dsp:txXfrm>
    </dsp:sp>
    <dsp:sp modelId="{3556F7D8-E962-4A60-950B-4F3D67F4CF8C}">
      <dsp:nvSpPr>
        <dsp:cNvPr id="0" name=""/>
        <dsp:cNvSpPr/>
      </dsp:nvSpPr>
      <dsp:spPr>
        <a:xfrm>
          <a:off x="2276135" y="1314557"/>
          <a:ext cx="1962332" cy="380934"/>
        </a:xfrm>
        <a:prstGeom prst="roundRect">
          <a:avLst>
            <a:gd name="adj" fmla="val 10000"/>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nl-BE" sz="800" kern="1200">
              <a:solidFill>
                <a:sysClr val="windowText" lastClr="000000">
                  <a:hueOff val="0"/>
                  <a:satOff val="0"/>
                  <a:lumOff val="0"/>
                  <a:alphaOff val="0"/>
                </a:sysClr>
              </a:solidFill>
              <a:latin typeface="Calibri"/>
              <a:ea typeface="+mn-ea"/>
              <a:cs typeface="+mn-cs"/>
            </a:rPr>
            <a:t>1 insufficient efficacy (day 6)</a:t>
          </a:r>
        </a:p>
      </dsp:txBody>
      <dsp:txXfrm>
        <a:off x="2287292" y="1325714"/>
        <a:ext cx="1940018" cy="358620"/>
      </dsp:txXfrm>
    </dsp:sp>
    <dsp:sp modelId="{C2A53E23-8154-484D-B7FB-7405681A4090}">
      <dsp:nvSpPr>
        <dsp:cNvPr id="0" name=""/>
        <dsp:cNvSpPr/>
      </dsp:nvSpPr>
      <dsp:spPr>
        <a:xfrm rot="1936339">
          <a:off x="696129" y="1477152"/>
          <a:ext cx="1712260" cy="17644"/>
        </a:xfrm>
        <a:custGeom>
          <a:avLst/>
          <a:gdLst/>
          <a:ahLst/>
          <a:cxnLst/>
          <a:rect l="0" t="0" r="0" b="0"/>
          <a:pathLst>
            <a:path>
              <a:moveTo>
                <a:pt x="0" y="8822"/>
              </a:moveTo>
              <a:lnTo>
                <a:pt x="1712260" y="8822"/>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nl-BE" sz="500" kern="1200">
            <a:solidFill>
              <a:sysClr val="windowText" lastClr="000000">
                <a:hueOff val="0"/>
                <a:satOff val="0"/>
                <a:lumOff val="0"/>
                <a:alphaOff val="0"/>
              </a:sysClr>
            </a:solidFill>
            <a:latin typeface="Calibri"/>
            <a:ea typeface="+mn-ea"/>
            <a:cs typeface="+mn-cs"/>
          </a:endParaRPr>
        </a:p>
      </dsp:txBody>
      <dsp:txXfrm>
        <a:off x="1538922" y="1426923"/>
        <a:ext cx="0" cy="0"/>
      </dsp:txXfrm>
    </dsp:sp>
    <dsp:sp modelId="{DD38803A-7C77-4954-AE03-5288EC82993F}">
      <dsp:nvSpPr>
        <dsp:cNvPr id="0" name=""/>
        <dsp:cNvSpPr/>
      </dsp:nvSpPr>
      <dsp:spPr>
        <a:xfrm>
          <a:off x="2276135" y="1752632"/>
          <a:ext cx="1962020" cy="380934"/>
        </a:xfrm>
        <a:prstGeom prst="roundRect">
          <a:avLst>
            <a:gd name="adj" fmla="val 10000"/>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nl-BE" sz="800" kern="1200">
              <a:solidFill>
                <a:sysClr val="windowText" lastClr="000000">
                  <a:hueOff val="0"/>
                  <a:satOff val="0"/>
                  <a:lumOff val="0"/>
                  <a:alphaOff val="0"/>
                </a:sysClr>
              </a:solidFill>
              <a:latin typeface="Calibri"/>
              <a:ea typeface="+mn-ea"/>
              <a:cs typeface="+mn-cs"/>
            </a:rPr>
            <a:t> 1 insufficient efficacy and confusion (day 5)</a:t>
          </a:r>
        </a:p>
      </dsp:txBody>
      <dsp:txXfrm>
        <a:off x="2287292" y="1763789"/>
        <a:ext cx="1939706" cy="358620"/>
      </dsp:txXfrm>
    </dsp:sp>
    <dsp:sp modelId="{ACE92B6B-70FC-4087-8805-86BADCADD7D2}">
      <dsp:nvSpPr>
        <dsp:cNvPr id="0" name=""/>
        <dsp:cNvSpPr/>
      </dsp:nvSpPr>
      <dsp:spPr>
        <a:xfrm>
          <a:off x="85569" y="2685896"/>
          <a:ext cx="761869" cy="380934"/>
        </a:xfrm>
        <a:prstGeom prst="roundRect">
          <a:avLst>
            <a:gd name="adj" fmla="val 10000"/>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nl-BE" sz="800" kern="1200">
              <a:solidFill>
                <a:sysClr val="windowText" lastClr="000000">
                  <a:hueOff val="0"/>
                  <a:satOff val="0"/>
                  <a:lumOff val="0"/>
                  <a:alphaOff val="0"/>
                </a:sysClr>
              </a:solidFill>
              <a:latin typeface="Calibri"/>
              <a:ea typeface="+mn-ea"/>
              <a:cs typeface="+mn-cs"/>
            </a:rPr>
            <a:t>Oxycodon</a:t>
          </a:r>
        </a:p>
      </dsp:txBody>
      <dsp:txXfrm>
        <a:off x="96726" y="2697053"/>
        <a:ext cx="739555" cy="358620"/>
      </dsp:txXfrm>
    </dsp:sp>
    <dsp:sp modelId="{6C34EF6B-562A-4269-B1F5-E742F17A545C}">
      <dsp:nvSpPr>
        <dsp:cNvPr id="0" name=""/>
        <dsp:cNvSpPr/>
      </dsp:nvSpPr>
      <dsp:spPr>
        <a:xfrm rot="20453016">
          <a:off x="805747" y="2619947"/>
          <a:ext cx="1512079" cy="17644"/>
        </a:xfrm>
        <a:custGeom>
          <a:avLst/>
          <a:gdLst/>
          <a:ahLst/>
          <a:cxnLst/>
          <a:rect l="0" t="0" r="0" b="0"/>
          <a:pathLst>
            <a:path>
              <a:moveTo>
                <a:pt x="0" y="8822"/>
              </a:moveTo>
              <a:lnTo>
                <a:pt x="1512079" y="8822"/>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nl-BE" sz="500" kern="1200">
            <a:solidFill>
              <a:sysClr val="windowText" lastClr="000000">
                <a:hueOff val="0"/>
                <a:satOff val="0"/>
                <a:lumOff val="0"/>
                <a:alphaOff val="0"/>
              </a:sysClr>
            </a:solidFill>
            <a:latin typeface="Calibri"/>
            <a:ea typeface="+mn-ea"/>
            <a:cs typeface="+mn-cs"/>
          </a:endParaRPr>
        </a:p>
      </dsp:txBody>
      <dsp:txXfrm>
        <a:off x="1513690" y="2605431"/>
        <a:ext cx="0" cy="0"/>
      </dsp:txXfrm>
    </dsp:sp>
    <dsp:sp modelId="{6AC215E7-2EF2-4B06-AACB-F59287687AC7}">
      <dsp:nvSpPr>
        <dsp:cNvPr id="0" name=""/>
        <dsp:cNvSpPr/>
      </dsp:nvSpPr>
      <dsp:spPr>
        <a:xfrm>
          <a:off x="2276135" y="2190707"/>
          <a:ext cx="1981387" cy="380934"/>
        </a:xfrm>
        <a:prstGeom prst="roundRect">
          <a:avLst>
            <a:gd name="adj" fmla="val 10000"/>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nl-BE" sz="800" kern="1200">
              <a:solidFill>
                <a:sysClr val="windowText" lastClr="000000">
                  <a:hueOff val="0"/>
                  <a:satOff val="0"/>
                  <a:lumOff val="0"/>
                  <a:alphaOff val="0"/>
                </a:sysClr>
              </a:solidFill>
              <a:latin typeface="Calibri"/>
              <a:ea typeface="+mn-ea"/>
              <a:cs typeface="+mn-cs"/>
            </a:rPr>
            <a:t>1 confusion (day 3)</a:t>
          </a:r>
        </a:p>
      </dsp:txBody>
      <dsp:txXfrm>
        <a:off x="2287292" y="2201864"/>
        <a:ext cx="1959073" cy="358620"/>
      </dsp:txXfrm>
    </dsp:sp>
    <dsp:sp modelId="{5EF3D0C0-633A-4402-91DD-9089B7A01600}">
      <dsp:nvSpPr>
        <dsp:cNvPr id="0" name=""/>
        <dsp:cNvSpPr/>
      </dsp:nvSpPr>
      <dsp:spPr>
        <a:xfrm rot="21462646">
          <a:off x="846868" y="2838985"/>
          <a:ext cx="1429837" cy="17644"/>
        </a:xfrm>
        <a:custGeom>
          <a:avLst/>
          <a:gdLst/>
          <a:ahLst/>
          <a:cxnLst/>
          <a:rect l="0" t="0" r="0" b="0"/>
          <a:pathLst>
            <a:path>
              <a:moveTo>
                <a:pt x="0" y="8822"/>
              </a:moveTo>
              <a:lnTo>
                <a:pt x="1429837" y="8822"/>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nl-BE" sz="500" kern="1200">
            <a:solidFill>
              <a:sysClr val="windowText" lastClr="000000">
                <a:hueOff val="0"/>
                <a:satOff val="0"/>
                <a:lumOff val="0"/>
                <a:alphaOff val="0"/>
              </a:sysClr>
            </a:solidFill>
            <a:latin typeface="Calibri"/>
            <a:ea typeface="+mn-ea"/>
            <a:cs typeface="+mn-cs"/>
          </a:endParaRPr>
        </a:p>
      </dsp:txBody>
      <dsp:txXfrm>
        <a:off x="1524642" y="2813517"/>
        <a:ext cx="0" cy="0"/>
      </dsp:txXfrm>
    </dsp:sp>
    <dsp:sp modelId="{530E9F51-FAA3-4AF1-A897-19E558C39257}">
      <dsp:nvSpPr>
        <dsp:cNvPr id="0" name=""/>
        <dsp:cNvSpPr/>
      </dsp:nvSpPr>
      <dsp:spPr>
        <a:xfrm>
          <a:off x="2276135" y="2628782"/>
          <a:ext cx="2000433" cy="380934"/>
        </a:xfrm>
        <a:prstGeom prst="roundRect">
          <a:avLst>
            <a:gd name="adj" fmla="val 10000"/>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nl-BE" sz="800" kern="1200">
              <a:solidFill>
                <a:sysClr val="windowText" lastClr="000000">
                  <a:hueOff val="0"/>
                  <a:satOff val="0"/>
                  <a:lumOff val="0"/>
                  <a:alphaOff val="0"/>
                </a:sysClr>
              </a:solidFill>
              <a:latin typeface="Calibri"/>
              <a:ea typeface="+mn-ea"/>
              <a:cs typeface="+mn-cs"/>
            </a:rPr>
            <a:t>1 swallowing difficulty (day 3) </a:t>
          </a:r>
        </a:p>
      </dsp:txBody>
      <dsp:txXfrm>
        <a:off x="2287292" y="2639939"/>
        <a:ext cx="1978119" cy="358620"/>
      </dsp:txXfrm>
    </dsp:sp>
    <dsp:sp modelId="{628A2FB8-657F-4E8C-B526-32753DFDE4C2}">
      <dsp:nvSpPr>
        <dsp:cNvPr id="0" name=""/>
        <dsp:cNvSpPr/>
      </dsp:nvSpPr>
      <dsp:spPr>
        <a:xfrm rot="895831">
          <a:off x="822479" y="3058022"/>
          <a:ext cx="1478615" cy="17644"/>
        </a:xfrm>
        <a:custGeom>
          <a:avLst/>
          <a:gdLst/>
          <a:ahLst/>
          <a:cxnLst/>
          <a:rect l="0" t="0" r="0" b="0"/>
          <a:pathLst>
            <a:path>
              <a:moveTo>
                <a:pt x="0" y="8822"/>
              </a:moveTo>
              <a:lnTo>
                <a:pt x="1478615" y="8822"/>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nl-BE" sz="500" kern="1200">
            <a:solidFill>
              <a:sysClr val="windowText" lastClr="000000">
                <a:hueOff val="0"/>
                <a:satOff val="0"/>
                <a:lumOff val="0"/>
                <a:alphaOff val="0"/>
              </a:sysClr>
            </a:solidFill>
            <a:latin typeface="Calibri"/>
            <a:ea typeface="+mn-ea"/>
            <a:cs typeface="+mn-cs"/>
          </a:endParaRPr>
        </a:p>
      </dsp:txBody>
      <dsp:txXfrm>
        <a:off x="1535594" y="3021603"/>
        <a:ext cx="0" cy="0"/>
      </dsp:txXfrm>
    </dsp:sp>
    <dsp:sp modelId="{9AD0DB48-0082-4B90-923A-090B210489EC}">
      <dsp:nvSpPr>
        <dsp:cNvPr id="0" name=""/>
        <dsp:cNvSpPr/>
      </dsp:nvSpPr>
      <dsp:spPr>
        <a:xfrm>
          <a:off x="2276135" y="3066857"/>
          <a:ext cx="2000746" cy="380934"/>
        </a:xfrm>
        <a:prstGeom prst="roundRect">
          <a:avLst>
            <a:gd name="adj" fmla="val 10000"/>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nl-BE" sz="800" kern="1200">
              <a:solidFill>
                <a:sysClr val="windowText" lastClr="000000">
                  <a:hueOff val="0"/>
                  <a:satOff val="0"/>
                  <a:lumOff val="0"/>
                  <a:alphaOff val="0"/>
                </a:sysClr>
              </a:solidFill>
              <a:latin typeface="Calibri"/>
              <a:ea typeface="+mn-ea"/>
              <a:cs typeface="+mn-cs"/>
            </a:rPr>
            <a:t>1 unspecified (day 3)</a:t>
          </a:r>
        </a:p>
      </dsp:txBody>
      <dsp:txXfrm>
        <a:off x="2287292" y="3078014"/>
        <a:ext cx="1978432" cy="358620"/>
      </dsp:txXfrm>
    </dsp:sp>
    <dsp:sp modelId="{0534DCEC-A4AB-4F1D-897A-B70527308419}">
      <dsp:nvSpPr>
        <dsp:cNvPr id="0" name=""/>
        <dsp:cNvSpPr/>
      </dsp:nvSpPr>
      <dsp:spPr>
        <a:xfrm rot="1789476">
          <a:off x="738380" y="3277060"/>
          <a:ext cx="1646813" cy="17644"/>
        </a:xfrm>
        <a:custGeom>
          <a:avLst/>
          <a:gdLst/>
          <a:ahLst/>
          <a:cxnLst/>
          <a:rect l="0" t="0" r="0" b="0"/>
          <a:pathLst>
            <a:path>
              <a:moveTo>
                <a:pt x="0" y="8822"/>
              </a:moveTo>
              <a:lnTo>
                <a:pt x="1646813" y="8822"/>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nl-BE" sz="500" kern="1200">
            <a:solidFill>
              <a:sysClr val="windowText" lastClr="000000">
                <a:hueOff val="0"/>
                <a:satOff val="0"/>
                <a:lumOff val="0"/>
                <a:alphaOff val="0"/>
              </a:sysClr>
            </a:solidFill>
            <a:latin typeface="Calibri"/>
            <a:ea typeface="+mn-ea"/>
            <a:cs typeface="+mn-cs"/>
          </a:endParaRPr>
        </a:p>
      </dsp:txBody>
      <dsp:txXfrm>
        <a:off x="1546546" y="3229688"/>
        <a:ext cx="0" cy="0"/>
      </dsp:txXfrm>
    </dsp:sp>
    <dsp:sp modelId="{8C17F12C-6CE1-4FB7-8913-EC0A84363D7E}">
      <dsp:nvSpPr>
        <dsp:cNvPr id="0" name=""/>
        <dsp:cNvSpPr/>
      </dsp:nvSpPr>
      <dsp:spPr>
        <a:xfrm>
          <a:off x="2276135" y="3504933"/>
          <a:ext cx="2000121" cy="380934"/>
        </a:xfrm>
        <a:prstGeom prst="roundRect">
          <a:avLst>
            <a:gd name="adj" fmla="val 10000"/>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nl-BE" sz="800" kern="1200">
              <a:solidFill>
                <a:sysClr val="windowText" lastClr="000000">
                  <a:hueOff val="0"/>
                  <a:satOff val="0"/>
                  <a:lumOff val="0"/>
                  <a:alphaOff val="0"/>
                </a:sysClr>
              </a:solidFill>
              <a:latin typeface="Calibri"/>
              <a:ea typeface="+mn-ea"/>
              <a:cs typeface="+mn-cs"/>
            </a:rPr>
            <a:t>1 discharge, no more need (day 7)</a:t>
          </a:r>
        </a:p>
      </dsp:txBody>
      <dsp:txXfrm>
        <a:off x="2287292" y="3516090"/>
        <a:ext cx="1977807" cy="358620"/>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A424CC-9720-43C9-9877-B449FCEAB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A9CD7276</Template>
  <TotalTime>1684</TotalTime>
  <Pages>13</Pages>
  <Words>3392</Words>
  <Characters>18662</Characters>
  <Application>Microsoft Office Word</Application>
  <DocSecurity>0</DocSecurity>
  <Lines>155</Lines>
  <Paragraphs>44</Paragraphs>
  <ScaleCrop>false</ScaleCrop>
  <HeadingPairs>
    <vt:vector size="2" baseType="variant">
      <vt:variant>
        <vt:lpstr>Titel</vt:lpstr>
      </vt:variant>
      <vt:variant>
        <vt:i4>1</vt:i4>
      </vt:variant>
    </vt:vector>
  </HeadingPairs>
  <TitlesOfParts>
    <vt:vector size="1" baseType="lpstr">
      <vt:lpstr/>
    </vt:vector>
  </TitlesOfParts>
  <Company>UZ Gent</Company>
  <LinksUpToDate>false</LinksUpToDate>
  <CharactersWithSpaces>22010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Janssens Wim</dc:creator>
  <cp:keywords/>
  <dc:description/>
  <cp:lastModifiedBy>Janssens Wim</cp:lastModifiedBy>
  <cp:revision>169</cp:revision>
  <dcterms:created xsi:type="dcterms:W3CDTF">2022-03-03T14:27:00Z</dcterms:created>
  <dcterms:modified xsi:type="dcterms:W3CDTF">2022-07-06T13:34:00Z</dcterms:modified>
</cp:coreProperties>
</file>